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1828800" cy="12382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2B3BD3" w:rsidRDefault="0004787B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#07</w:t>
                            </w:r>
                            <w:r w:rsidR="003D3EAC"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.2020</w:t>
                            </w:r>
                          </w:p>
                          <w:p w:rsidR="009063F8" w:rsidRPr="002B3BD3" w:rsidRDefault="009063F8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IL DECRETO CURA ITALIA </w:t>
                            </w:r>
                          </w:p>
                          <w:p w:rsidR="009063F8" w:rsidRPr="002B3BD3" w:rsidRDefault="0004787B" w:rsidP="009063F8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Seconda</w:t>
                            </w:r>
                            <w:r w:rsidR="009063F8"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parte</w:t>
                            </w:r>
                          </w:p>
                          <w:p w:rsidR="003D3EAC" w:rsidRPr="002B3BD3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8.45pt;width:2in;height:97.5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" filled="f" stroked="f">
                <v:textbox>
                  <w:txbxContent>
                    <w:p w:rsidR="003D3EAC" w:rsidRPr="002B3BD3" w:rsidRDefault="0004787B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 #07</w:t>
                      </w:r>
                      <w:r w:rsidR="003D3EAC"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.2020</w:t>
                      </w:r>
                    </w:p>
                    <w:p w:rsidR="009063F8" w:rsidRPr="002B3BD3" w:rsidRDefault="009063F8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IL DECRETO CURA ITALIA </w:t>
                      </w:r>
                    </w:p>
                    <w:p w:rsidR="009063F8" w:rsidRPr="002B3BD3" w:rsidRDefault="0004787B" w:rsidP="009063F8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Seconda</w:t>
                      </w:r>
                      <w:r w:rsidR="009063F8"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parte</w:t>
                      </w:r>
                    </w:p>
                    <w:p w:rsidR="003D3EAC" w:rsidRPr="002B3BD3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9063F8" w:rsidRDefault="0004787B" w:rsidP="00BF3A2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br/>
        <w:t>INDENNITA’ PER PROFESSIONISTI, ARTIGIANI E COMMERCIANTI</w:t>
      </w:r>
      <w:r w:rsidR="009063F8" w:rsidRPr="002B3BD3">
        <w:rPr>
          <w:rFonts w:ascii="Comic Sans MS" w:hAnsi="Comic Sans MS"/>
          <w:b/>
          <w:color w:val="FF0000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E’ riconosciuta un’indennità forfettaria di </w:t>
      </w:r>
      <w:r>
        <w:rPr>
          <w:rFonts w:ascii="Comic Sans MS" w:hAnsi="Comic Sans MS"/>
          <w:b/>
          <w:sz w:val="20"/>
          <w:szCs w:val="20"/>
          <w:u w:val="single"/>
        </w:rPr>
        <w:t>€ 600</w:t>
      </w:r>
      <w:r>
        <w:rPr>
          <w:rFonts w:ascii="Comic Sans MS" w:hAnsi="Comic Sans MS"/>
          <w:sz w:val="20"/>
          <w:szCs w:val="20"/>
        </w:rPr>
        <w:t xml:space="preserve"> riferita al mese di </w:t>
      </w:r>
      <w:r>
        <w:rPr>
          <w:rFonts w:ascii="Comic Sans MS" w:hAnsi="Comic Sans MS"/>
          <w:sz w:val="20"/>
          <w:szCs w:val="20"/>
          <w:u w:val="single"/>
        </w:rPr>
        <w:t>marzo</w:t>
      </w:r>
      <w:r>
        <w:rPr>
          <w:rFonts w:ascii="Comic Sans MS" w:hAnsi="Comic Sans MS"/>
          <w:sz w:val="20"/>
          <w:szCs w:val="20"/>
        </w:rPr>
        <w:t xml:space="preserve"> per i seguenti soggetti: 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  <w:t xml:space="preserve">* </w:t>
      </w:r>
      <w:r w:rsidRPr="0004787B">
        <w:rPr>
          <w:rFonts w:ascii="Comic Sans MS" w:hAnsi="Comic Sans MS"/>
          <w:b/>
          <w:color w:val="C45911" w:themeColor="accent2" w:themeShade="BF"/>
          <w:sz w:val="20"/>
          <w:szCs w:val="20"/>
        </w:rPr>
        <w:t>LIBERI PROFESSIONISTI</w:t>
      </w:r>
      <w:r w:rsidRPr="0004787B">
        <w:rPr>
          <w:rFonts w:ascii="Comic Sans MS" w:hAnsi="Comic Sans MS"/>
          <w:color w:val="C45911" w:themeColor="accent2" w:themeShade="BF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titolari di P.Iva, iscritti alla Gestione Separata e non titolari di pensione; </w:t>
      </w:r>
      <w:r>
        <w:rPr>
          <w:rFonts w:ascii="Comic Sans MS" w:hAnsi="Comic Sans MS"/>
          <w:sz w:val="20"/>
          <w:szCs w:val="20"/>
        </w:rPr>
        <w:br/>
        <w:t xml:space="preserve">* </w:t>
      </w:r>
      <w:r w:rsidRPr="0004787B">
        <w:rPr>
          <w:rFonts w:ascii="Comic Sans MS" w:hAnsi="Comic Sans MS"/>
          <w:b/>
          <w:color w:val="C45911" w:themeColor="accent2" w:themeShade="BF"/>
          <w:sz w:val="20"/>
          <w:szCs w:val="20"/>
        </w:rPr>
        <w:t>ARTIGIANI e COMMERCIANTI</w:t>
      </w:r>
      <w:r w:rsidRPr="0004787B">
        <w:rPr>
          <w:rFonts w:ascii="Comic Sans MS" w:hAnsi="Comic Sans MS"/>
          <w:color w:val="C45911" w:themeColor="accent2" w:themeShade="BF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iscritti all’Inps e non titolari di pensione.   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  <w:t xml:space="preserve">Detto importo non concorre alla formazione del reddito. L’erogazione di tale indennità verrà fornita da INPS mediate la presentazione di apposita richiesta.  </w:t>
      </w:r>
      <w:r>
        <w:rPr>
          <w:rFonts w:ascii="Comic Sans MS" w:hAnsi="Comic Sans MS"/>
          <w:sz w:val="20"/>
          <w:szCs w:val="20"/>
        </w:rPr>
        <w:br/>
        <w:t>N.B. Gli importi verranno erogati in ordine cronologico e fino al limite delle somme predisposte dal D.L.</w:t>
      </w:r>
    </w:p>
    <w:p w:rsidR="0004787B" w:rsidRPr="0004787B" w:rsidRDefault="0004787B" w:rsidP="0004787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p w:rsidR="00160653" w:rsidRDefault="0004787B" w:rsidP="0004787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ASSEMBLEE DELLE SOCIETA’ DI CAPITALI </w:t>
      </w:r>
      <w:r w:rsidR="00160653">
        <w:rPr>
          <w:rFonts w:ascii="Comic Sans MS" w:hAnsi="Comic Sans MS"/>
          <w:b/>
          <w:color w:val="FF0000"/>
          <w:sz w:val="20"/>
          <w:szCs w:val="20"/>
        </w:rPr>
        <w:t xml:space="preserve">  </w:t>
      </w:r>
      <w:r w:rsidR="00160653">
        <w:rPr>
          <w:rFonts w:ascii="Comic Sans MS" w:hAnsi="Comic Sans MS"/>
          <w:b/>
          <w:color w:val="FF0000"/>
          <w:sz w:val="20"/>
          <w:szCs w:val="20"/>
        </w:rPr>
        <w:br/>
      </w:r>
      <w:r w:rsidR="00160653">
        <w:rPr>
          <w:rFonts w:ascii="Comic Sans MS" w:hAnsi="Comic Sans MS"/>
          <w:sz w:val="20"/>
          <w:szCs w:val="20"/>
        </w:rPr>
        <w:t>Le società di capitali (SRL e SPA) possono procedere alla prima convocazione dell’assemblea di approvazione del bilancio entro 180 giorni, anche in deroga delle previsioni dello Statuto.</w:t>
      </w:r>
    </w:p>
    <w:p w:rsidR="00160653" w:rsidRDefault="00160653" w:rsidP="0004787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Le Società possono prevedere, in deroga allo Statuto, il voto elettronico o per corrispondenza e svolgere l’assemblea anche con mezzi di telecomunicazione. </w:t>
      </w:r>
    </w:p>
    <w:p w:rsidR="00160653" w:rsidRDefault="00160653" w:rsidP="0004787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p w:rsidR="0004787B" w:rsidRDefault="00160653" w:rsidP="0004787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CREDITI D’IMPOSTA PER SANIFICARE AMBIENTI DI LAVORO </w:t>
      </w:r>
      <w:r>
        <w:rPr>
          <w:rFonts w:ascii="Comic Sans MS" w:hAnsi="Comic Sans MS"/>
          <w:b/>
          <w:color w:val="FF0000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E’ riconosciuto un credito d’imposta nella misura del </w:t>
      </w:r>
      <w:r>
        <w:rPr>
          <w:rFonts w:ascii="Comic Sans MS" w:hAnsi="Comic Sans MS"/>
          <w:b/>
          <w:sz w:val="20"/>
          <w:szCs w:val="20"/>
          <w:u w:val="single"/>
        </w:rPr>
        <w:t>50%</w:t>
      </w:r>
      <w:r>
        <w:rPr>
          <w:rFonts w:ascii="Comic Sans MS" w:hAnsi="Comic Sans MS"/>
          <w:sz w:val="20"/>
          <w:szCs w:val="20"/>
        </w:rPr>
        <w:t xml:space="preserve"> delle spese di sanificazione ambienti e strumenti di lavoro. Modalità operative con apposito Decreto Ministeriale. </w:t>
      </w:r>
    </w:p>
    <w:p w:rsidR="00160653" w:rsidRDefault="00160653" w:rsidP="0004787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p w:rsidR="00160653" w:rsidRDefault="00160653" w:rsidP="0004787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CREDITO D’IMPOSTA PER BOTTEGHE E NEGOZI</w:t>
      </w:r>
      <w:r>
        <w:rPr>
          <w:rFonts w:ascii="Comic Sans MS" w:hAnsi="Comic Sans MS"/>
          <w:b/>
          <w:color w:val="FF0000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A favore dei soggetti imprenditori è riconosciuto un credito d’imposta nella misura del </w:t>
      </w:r>
      <w:r>
        <w:rPr>
          <w:rFonts w:ascii="Comic Sans MS" w:hAnsi="Comic Sans MS"/>
          <w:b/>
          <w:sz w:val="20"/>
          <w:szCs w:val="20"/>
          <w:u w:val="single"/>
        </w:rPr>
        <w:t>60%</w:t>
      </w:r>
      <w:r>
        <w:rPr>
          <w:rFonts w:ascii="Comic Sans MS" w:hAnsi="Comic Sans MS"/>
          <w:sz w:val="20"/>
          <w:szCs w:val="20"/>
        </w:rPr>
        <w:t xml:space="preserve"> dell’ammontare del canone di locazione del relativo mese di </w:t>
      </w:r>
      <w:r>
        <w:rPr>
          <w:rFonts w:ascii="Comic Sans MS" w:hAnsi="Comic Sans MS"/>
          <w:b/>
          <w:sz w:val="20"/>
          <w:szCs w:val="20"/>
          <w:u w:val="single"/>
        </w:rPr>
        <w:t>MARZO</w:t>
      </w:r>
      <w:r>
        <w:rPr>
          <w:rFonts w:ascii="Comic Sans MS" w:hAnsi="Comic Sans MS"/>
          <w:sz w:val="20"/>
          <w:szCs w:val="20"/>
        </w:rPr>
        <w:t xml:space="preserve">. Tale agevolazione riguarda solamente gli immobili accatastati nella categoria “C/1” (negozi e botteghe). </w:t>
      </w:r>
      <w:r>
        <w:rPr>
          <w:rFonts w:ascii="Comic Sans MS" w:hAnsi="Comic Sans MS"/>
          <w:sz w:val="20"/>
          <w:szCs w:val="20"/>
        </w:rPr>
        <w:br/>
        <w:t xml:space="preserve">Il Decreto specifica alcuni casi in cui non è possibile applicare tale credito, di seguito le attività </w:t>
      </w:r>
      <w:r>
        <w:rPr>
          <w:rFonts w:ascii="Comic Sans MS" w:hAnsi="Comic Sans MS"/>
          <w:sz w:val="20"/>
          <w:szCs w:val="20"/>
          <w:u w:val="single"/>
        </w:rPr>
        <w:t>eslcuse</w:t>
      </w:r>
      <w:r>
        <w:rPr>
          <w:rFonts w:ascii="Comic Sans MS" w:hAnsi="Comic Sans MS"/>
          <w:sz w:val="20"/>
          <w:szCs w:val="20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60653" w:rsidTr="00BF3A2B"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Lavanderie e tintorie </w:t>
            </w:r>
          </w:p>
        </w:tc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Commercio giornali, riviste e periodici </w:t>
            </w:r>
          </w:p>
        </w:tc>
      </w:tr>
      <w:tr w:rsidR="00160653" w:rsidTr="00BF3A2B"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Servizi di pompe funebri e attività connesse</w:t>
            </w:r>
          </w:p>
        </w:tc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Farmacie, comm. articoli medicinali senza prescriz.</w:t>
            </w:r>
          </w:p>
        </w:tc>
      </w:tr>
      <w:tr w:rsidR="00160653" w:rsidTr="00BF3A2B"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Ipermercati, supermercati, discount, minimercati</w:t>
            </w:r>
          </w:p>
        </w:tc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Commercio effettuato con apparecchi automatici </w:t>
            </w:r>
          </w:p>
        </w:tc>
      </w:tr>
      <w:tr w:rsidR="00160653" w:rsidTr="00BF3A2B"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di alimentari surgelati</w:t>
            </w:r>
          </w:p>
        </w:tc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Commercio profumeria, prodotti per ig. personale </w:t>
            </w:r>
          </w:p>
        </w:tc>
      </w:tr>
      <w:tr w:rsidR="00160653" w:rsidTr="00BF3A2B"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di computer, elettrodomestici ecc.</w:t>
            </w:r>
          </w:p>
        </w:tc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Commercio materiale per ottica e fotografia </w:t>
            </w:r>
          </w:p>
        </w:tc>
      </w:tr>
      <w:tr w:rsidR="00160653" w:rsidTr="00BF3A2B"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prod alimentari, tabacchi (cod ateco 47.2)</w:t>
            </w:r>
          </w:p>
        </w:tc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saponi, detersivi, prodotti per pulizia</w:t>
            </w:r>
          </w:p>
        </w:tc>
      </w:tr>
      <w:tr w:rsidR="00160653" w:rsidTr="00BF3A2B"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di carburante per autotrazione</w:t>
            </w:r>
          </w:p>
        </w:tc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di qualsiasi prodotto via internet</w:t>
            </w:r>
          </w:p>
        </w:tc>
      </w:tr>
      <w:tr w:rsidR="00160653" w:rsidTr="00BF3A2B"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app informatiche (cod ateco 47.4)</w:t>
            </w:r>
          </w:p>
        </w:tc>
        <w:tc>
          <w:tcPr>
            <w:tcW w:w="5228" w:type="dxa"/>
          </w:tcPr>
          <w:p w:rsidR="00160653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di piccoli animali domestici</w:t>
            </w:r>
          </w:p>
        </w:tc>
      </w:tr>
      <w:tr w:rsidR="00BF3A2B" w:rsidTr="00BF3A2B">
        <w:tc>
          <w:tcPr>
            <w:tcW w:w="5228" w:type="dxa"/>
          </w:tcPr>
          <w:p w:rsidR="00BF3A2B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di ferramenta, vernici, mat elett ed idraul</w:t>
            </w:r>
          </w:p>
        </w:tc>
        <w:tc>
          <w:tcPr>
            <w:tcW w:w="5228" w:type="dxa"/>
          </w:tcPr>
          <w:p w:rsidR="00BF3A2B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articoli medicali e ortopedici</w:t>
            </w:r>
          </w:p>
        </w:tc>
      </w:tr>
      <w:tr w:rsidR="00BF3A2B" w:rsidTr="00BF3A2B">
        <w:tc>
          <w:tcPr>
            <w:tcW w:w="5228" w:type="dxa"/>
          </w:tcPr>
          <w:p w:rsidR="00BF3A2B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articoli igienico-sanitari</w:t>
            </w:r>
          </w:p>
        </w:tc>
        <w:tc>
          <w:tcPr>
            <w:tcW w:w="5228" w:type="dxa"/>
          </w:tcPr>
          <w:p w:rsidR="00BF3A2B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combustibile per uso domestico</w:t>
            </w:r>
          </w:p>
        </w:tc>
      </w:tr>
      <w:tr w:rsidR="00BF3A2B" w:rsidTr="00BF3A2B">
        <w:tc>
          <w:tcPr>
            <w:tcW w:w="5228" w:type="dxa"/>
          </w:tcPr>
          <w:p w:rsidR="00BF3A2B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Commercio articoli per illuminazione</w:t>
            </w:r>
          </w:p>
        </w:tc>
        <w:tc>
          <w:tcPr>
            <w:tcW w:w="5228" w:type="dxa"/>
          </w:tcPr>
          <w:p w:rsidR="00BF3A2B" w:rsidRDefault="00BF3A2B" w:rsidP="00BF3A2B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B3BD3" w:rsidRDefault="002B3BD3" w:rsidP="00BF3A2B">
      <w:pPr>
        <w:spacing w:line="276" w:lineRule="auto"/>
        <w:rPr>
          <w:rFonts w:ascii="Comic Sans MS" w:hAnsi="Comic Sans MS"/>
          <w:sz w:val="20"/>
          <w:szCs w:val="20"/>
        </w:rPr>
      </w:pPr>
    </w:p>
    <w:p w:rsidR="00BF3A2B" w:rsidRDefault="00BF3A2B" w:rsidP="00BF3A2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lastRenderedPageBreak/>
        <w:t xml:space="preserve">INCENTIVI FISCALI ALLE DONAZIONI FINALIZZATE A INTERVENTI VOLTI AL CONTENIMENTO DELL’EMERGENZA SANITARIA  </w:t>
      </w:r>
      <w:r>
        <w:rPr>
          <w:rFonts w:ascii="Comic Sans MS" w:hAnsi="Comic Sans MS"/>
          <w:b/>
          <w:color w:val="FF0000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Donazioni effettuate da persone fisiche: detrazioni del </w:t>
      </w:r>
      <w:r>
        <w:rPr>
          <w:rFonts w:ascii="Comic Sans MS" w:hAnsi="Comic Sans MS"/>
          <w:b/>
          <w:sz w:val="20"/>
          <w:szCs w:val="20"/>
          <w:u w:val="single"/>
        </w:rPr>
        <w:t>30%</w:t>
      </w:r>
      <w:r>
        <w:rPr>
          <w:rFonts w:ascii="Comic Sans MS" w:hAnsi="Comic Sans MS"/>
          <w:sz w:val="20"/>
          <w:szCs w:val="20"/>
        </w:rPr>
        <w:t xml:space="preserve"> per importi non superiori a € 30.000, in denaro o in natura a favore dello Stato, Fondazioni o Associazioni.</w:t>
      </w:r>
    </w:p>
    <w:p w:rsidR="00BF3A2B" w:rsidRDefault="00BF3A2B" w:rsidP="00BF3A2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Donazioni effettuate da imprese: sono deducibili dal reddito senza limiti di importo dal Reddito e da IRAP. </w:t>
      </w:r>
    </w:p>
    <w:p w:rsidR="00BF3A2B" w:rsidRDefault="00BF3A2B" w:rsidP="00BF3A2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p w:rsidR="00BF3A2B" w:rsidRDefault="00BF3A2B" w:rsidP="00BF3A2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SOSPENSIONE DEI TERMINI PER GLI ENTI IMPOSITORI   </w:t>
      </w:r>
      <w:r>
        <w:rPr>
          <w:rFonts w:ascii="Comic Sans MS" w:hAnsi="Comic Sans MS"/>
          <w:b/>
          <w:color w:val="FF0000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Vengono sospesi </w:t>
      </w:r>
      <w:r>
        <w:rPr>
          <w:rFonts w:ascii="Comic Sans MS" w:hAnsi="Comic Sans MS"/>
          <w:b/>
          <w:sz w:val="20"/>
          <w:szCs w:val="20"/>
          <w:u w:val="single"/>
        </w:rPr>
        <w:t>dal 08/03/2020 al 31/05/2020</w:t>
      </w:r>
      <w:r>
        <w:rPr>
          <w:rFonts w:ascii="Comic Sans MS" w:hAnsi="Comic Sans MS"/>
          <w:sz w:val="20"/>
          <w:szCs w:val="20"/>
        </w:rPr>
        <w:t xml:space="preserve"> i termini relativi all’attività di liquidazioni ai sensi dell’art. 36/BIS e 36/TER; Accertamento; Riscossione; Contenziosi da parte degli Uffici delle Entrate. </w:t>
      </w:r>
    </w:p>
    <w:p w:rsidR="00BF3A2B" w:rsidRDefault="00BF3A2B" w:rsidP="00BF3A2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p w:rsidR="00BF3A2B" w:rsidRPr="00B17C96" w:rsidRDefault="00B17C96" w:rsidP="00BF3A2B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SOSPENSIONE CARICHI  </w:t>
      </w:r>
      <w:r>
        <w:rPr>
          <w:rFonts w:ascii="Comic Sans MS" w:hAnsi="Comic Sans MS"/>
          <w:b/>
          <w:color w:val="FF0000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Sono sospesi i termini di versamento che cadono </w:t>
      </w:r>
      <w:r>
        <w:rPr>
          <w:rFonts w:ascii="Comic Sans MS" w:hAnsi="Comic Sans MS"/>
          <w:b/>
          <w:sz w:val="20"/>
          <w:szCs w:val="20"/>
          <w:u w:val="single"/>
        </w:rPr>
        <w:t>tra il 08/03/2020 e il 31/05/2020</w:t>
      </w:r>
      <w:r>
        <w:rPr>
          <w:rFonts w:ascii="Comic Sans MS" w:hAnsi="Comic Sans MS"/>
          <w:sz w:val="20"/>
          <w:szCs w:val="20"/>
        </w:rPr>
        <w:t xml:space="preserve"> derivanti da cartelle di pagamento, avvisi di debito INPS, atti esecutivi da parte dei Comuni. </w:t>
      </w:r>
      <w:r>
        <w:rPr>
          <w:rFonts w:ascii="Comic Sans MS" w:hAnsi="Comic Sans MS"/>
          <w:sz w:val="20"/>
          <w:szCs w:val="20"/>
        </w:rPr>
        <w:br/>
        <w:t xml:space="preserve">I versamenti riprenderanno </w:t>
      </w:r>
      <w:r>
        <w:rPr>
          <w:rFonts w:ascii="Comic Sans MS" w:hAnsi="Comic Sans MS"/>
          <w:b/>
          <w:sz w:val="20"/>
          <w:szCs w:val="20"/>
        </w:rPr>
        <w:t>in un’unica soluzione entro il 30/06/2020</w:t>
      </w:r>
      <w:r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br/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Non spetta alcun rimborso per quanto già versato. </w:t>
      </w:r>
    </w:p>
    <w:sectPr w:rsidR="00BF3A2B" w:rsidRPr="00B17C96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25C"/>
    <w:multiLevelType w:val="hybridMultilevel"/>
    <w:tmpl w:val="EBBC29CE"/>
    <w:lvl w:ilvl="0" w:tplc="2B6E6618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3750F"/>
    <w:multiLevelType w:val="hybridMultilevel"/>
    <w:tmpl w:val="3F341DCC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FF4EC7"/>
    <w:multiLevelType w:val="hybridMultilevel"/>
    <w:tmpl w:val="73227E80"/>
    <w:lvl w:ilvl="0" w:tplc="0CC67B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12683"/>
    <w:multiLevelType w:val="hybridMultilevel"/>
    <w:tmpl w:val="BA5A9460"/>
    <w:lvl w:ilvl="0" w:tplc="9A9E1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1D44"/>
    <w:multiLevelType w:val="hybridMultilevel"/>
    <w:tmpl w:val="D8CEDF02"/>
    <w:lvl w:ilvl="0" w:tplc="3F3E867C">
      <w:start w:val="30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55634"/>
    <w:multiLevelType w:val="hybridMultilevel"/>
    <w:tmpl w:val="6262CB2A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EB43AFD"/>
    <w:multiLevelType w:val="hybridMultilevel"/>
    <w:tmpl w:val="BE007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7604"/>
    <w:multiLevelType w:val="hybridMultilevel"/>
    <w:tmpl w:val="9EE892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3263C"/>
    <w:multiLevelType w:val="hybridMultilevel"/>
    <w:tmpl w:val="F80EC6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7E1248"/>
    <w:multiLevelType w:val="hybridMultilevel"/>
    <w:tmpl w:val="FEB883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373FC6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565"/>
    <w:multiLevelType w:val="hybridMultilevel"/>
    <w:tmpl w:val="9E8AAD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07829"/>
    <w:multiLevelType w:val="hybridMultilevel"/>
    <w:tmpl w:val="023AE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F0900"/>
    <w:multiLevelType w:val="hybridMultilevel"/>
    <w:tmpl w:val="F0BA980E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23C139A"/>
    <w:multiLevelType w:val="hybridMultilevel"/>
    <w:tmpl w:val="4C5821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6335A"/>
    <w:multiLevelType w:val="hybridMultilevel"/>
    <w:tmpl w:val="6C489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54C2"/>
    <w:multiLevelType w:val="hybridMultilevel"/>
    <w:tmpl w:val="E7C2A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25AB3"/>
    <w:multiLevelType w:val="hybridMultilevel"/>
    <w:tmpl w:val="785CDCA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E47212"/>
    <w:multiLevelType w:val="hybridMultilevel"/>
    <w:tmpl w:val="73F88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A6D0E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419"/>
    <w:multiLevelType w:val="hybridMultilevel"/>
    <w:tmpl w:val="4558C4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EC4958"/>
    <w:multiLevelType w:val="hybridMultilevel"/>
    <w:tmpl w:val="B4467996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D03A66"/>
    <w:multiLevelType w:val="hybridMultilevel"/>
    <w:tmpl w:val="8C18E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A6F51"/>
    <w:multiLevelType w:val="hybridMultilevel"/>
    <w:tmpl w:val="814E103C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059C1"/>
    <w:multiLevelType w:val="hybridMultilevel"/>
    <w:tmpl w:val="58BEEB9E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E27"/>
    <w:multiLevelType w:val="hybridMultilevel"/>
    <w:tmpl w:val="6F26A3D2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8C782C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36070"/>
    <w:multiLevelType w:val="hybridMultilevel"/>
    <w:tmpl w:val="EBFCDE70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ECE7F1D"/>
    <w:multiLevelType w:val="hybridMultilevel"/>
    <w:tmpl w:val="9EEE9D1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B14075"/>
    <w:multiLevelType w:val="hybridMultilevel"/>
    <w:tmpl w:val="359C20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4E1054E"/>
    <w:multiLevelType w:val="hybridMultilevel"/>
    <w:tmpl w:val="856CEEF8"/>
    <w:lvl w:ilvl="0" w:tplc="CCB2670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45E10"/>
    <w:multiLevelType w:val="hybridMultilevel"/>
    <w:tmpl w:val="9710C61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913980"/>
    <w:multiLevelType w:val="hybridMultilevel"/>
    <w:tmpl w:val="4B94BE2C"/>
    <w:lvl w:ilvl="0" w:tplc="1A267F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25795F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1739B"/>
    <w:multiLevelType w:val="hybridMultilevel"/>
    <w:tmpl w:val="A606DA7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9D9681F"/>
    <w:multiLevelType w:val="hybridMultilevel"/>
    <w:tmpl w:val="15441580"/>
    <w:lvl w:ilvl="0" w:tplc="2B6E66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D364B6"/>
    <w:multiLevelType w:val="hybridMultilevel"/>
    <w:tmpl w:val="8572F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815B8"/>
    <w:multiLevelType w:val="hybridMultilevel"/>
    <w:tmpl w:val="ACCA41E0"/>
    <w:lvl w:ilvl="0" w:tplc="2CFAD2A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A4507A"/>
    <w:multiLevelType w:val="hybridMultilevel"/>
    <w:tmpl w:val="3FDC6BFA"/>
    <w:lvl w:ilvl="0" w:tplc="9B1047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3C2860"/>
    <w:multiLevelType w:val="hybridMultilevel"/>
    <w:tmpl w:val="489CDE5A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D77A58"/>
    <w:multiLevelType w:val="hybridMultilevel"/>
    <w:tmpl w:val="3356E734"/>
    <w:lvl w:ilvl="0" w:tplc="45F662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42A51"/>
    <w:multiLevelType w:val="hybridMultilevel"/>
    <w:tmpl w:val="291685F6"/>
    <w:lvl w:ilvl="0" w:tplc="6EAE8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F87646"/>
    <w:multiLevelType w:val="hybridMultilevel"/>
    <w:tmpl w:val="7AF8E6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065DF2"/>
    <w:multiLevelType w:val="hybridMultilevel"/>
    <w:tmpl w:val="0682FA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DD47E1"/>
    <w:multiLevelType w:val="hybridMultilevel"/>
    <w:tmpl w:val="AAAAAE4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5" w15:restartNumberingAfterBreak="0">
    <w:nsid w:val="7B036242"/>
    <w:multiLevelType w:val="hybridMultilevel"/>
    <w:tmpl w:val="0B7AC4FC"/>
    <w:lvl w:ilvl="0" w:tplc="9B1047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34EE8"/>
    <w:multiLevelType w:val="hybridMultilevel"/>
    <w:tmpl w:val="9F307ACE"/>
    <w:lvl w:ilvl="0" w:tplc="04100017">
      <w:start w:val="1"/>
      <w:numFmt w:val="lowerLetter"/>
      <w:lvlText w:val="%1)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0"/>
  </w:num>
  <w:num w:numId="2">
    <w:abstractNumId w:val="16"/>
  </w:num>
  <w:num w:numId="3">
    <w:abstractNumId w:val="35"/>
  </w:num>
  <w:num w:numId="4">
    <w:abstractNumId w:val="0"/>
  </w:num>
  <w:num w:numId="5">
    <w:abstractNumId w:val="23"/>
  </w:num>
  <w:num w:numId="6">
    <w:abstractNumId w:val="32"/>
  </w:num>
  <w:num w:numId="7">
    <w:abstractNumId w:val="42"/>
  </w:num>
  <w:num w:numId="8">
    <w:abstractNumId w:val="20"/>
  </w:num>
  <w:num w:numId="9">
    <w:abstractNumId w:val="4"/>
  </w:num>
  <w:num w:numId="10">
    <w:abstractNumId w:val="41"/>
  </w:num>
  <w:num w:numId="11">
    <w:abstractNumId w:val="17"/>
  </w:num>
  <w:num w:numId="12">
    <w:abstractNumId w:val="7"/>
  </w:num>
  <w:num w:numId="13">
    <w:abstractNumId w:val="44"/>
  </w:num>
  <w:num w:numId="14">
    <w:abstractNumId w:val="5"/>
  </w:num>
  <w:num w:numId="15">
    <w:abstractNumId w:val="27"/>
  </w:num>
  <w:num w:numId="16">
    <w:abstractNumId w:val="24"/>
  </w:num>
  <w:num w:numId="17">
    <w:abstractNumId w:val="8"/>
  </w:num>
  <w:num w:numId="18">
    <w:abstractNumId w:val="28"/>
  </w:num>
  <w:num w:numId="19">
    <w:abstractNumId w:val="11"/>
  </w:num>
  <w:num w:numId="20">
    <w:abstractNumId w:val="25"/>
  </w:num>
  <w:num w:numId="21">
    <w:abstractNumId w:val="34"/>
  </w:num>
  <w:num w:numId="22">
    <w:abstractNumId w:val="9"/>
  </w:num>
  <w:num w:numId="23">
    <w:abstractNumId w:val="2"/>
  </w:num>
  <w:num w:numId="24">
    <w:abstractNumId w:val="13"/>
  </w:num>
  <w:num w:numId="25">
    <w:abstractNumId w:val="21"/>
  </w:num>
  <w:num w:numId="26">
    <w:abstractNumId w:val="29"/>
  </w:num>
  <w:num w:numId="27">
    <w:abstractNumId w:val="1"/>
  </w:num>
  <w:num w:numId="28">
    <w:abstractNumId w:val="39"/>
  </w:num>
  <w:num w:numId="29">
    <w:abstractNumId w:val="15"/>
  </w:num>
  <w:num w:numId="30">
    <w:abstractNumId w:val="22"/>
  </w:num>
  <w:num w:numId="31">
    <w:abstractNumId w:val="18"/>
  </w:num>
  <w:num w:numId="32">
    <w:abstractNumId w:val="45"/>
  </w:num>
  <w:num w:numId="33">
    <w:abstractNumId w:val="38"/>
  </w:num>
  <w:num w:numId="34">
    <w:abstractNumId w:val="40"/>
  </w:num>
  <w:num w:numId="35">
    <w:abstractNumId w:val="3"/>
  </w:num>
  <w:num w:numId="36">
    <w:abstractNumId w:val="12"/>
  </w:num>
  <w:num w:numId="37">
    <w:abstractNumId w:val="37"/>
  </w:num>
  <w:num w:numId="38">
    <w:abstractNumId w:val="31"/>
  </w:num>
  <w:num w:numId="39">
    <w:abstractNumId w:val="14"/>
  </w:num>
  <w:num w:numId="40">
    <w:abstractNumId w:val="46"/>
  </w:num>
  <w:num w:numId="41">
    <w:abstractNumId w:val="10"/>
  </w:num>
  <w:num w:numId="42">
    <w:abstractNumId w:val="43"/>
  </w:num>
  <w:num w:numId="43">
    <w:abstractNumId w:val="26"/>
  </w:num>
  <w:num w:numId="44">
    <w:abstractNumId w:val="19"/>
  </w:num>
  <w:num w:numId="45">
    <w:abstractNumId w:val="33"/>
  </w:num>
  <w:num w:numId="46">
    <w:abstractNumId w:val="36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4787B"/>
    <w:rsid w:val="00093701"/>
    <w:rsid w:val="000C1987"/>
    <w:rsid w:val="000D7B07"/>
    <w:rsid w:val="00105395"/>
    <w:rsid w:val="00140977"/>
    <w:rsid w:val="00160653"/>
    <w:rsid w:val="001B59E5"/>
    <w:rsid w:val="0021383A"/>
    <w:rsid w:val="002714CD"/>
    <w:rsid w:val="00276918"/>
    <w:rsid w:val="00281AD8"/>
    <w:rsid w:val="002A71EA"/>
    <w:rsid w:val="002B3BD3"/>
    <w:rsid w:val="00353955"/>
    <w:rsid w:val="003B6B04"/>
    <w:rsid w:val="003D3EAC"/>
    <w:rsid w:val="004036FE"/>
    <w:rsid w:val="00403B09"/>
    <w:rsid w:val="00403DE8"/>
    <w:rsid w:val="00415E75"/>
    <w:rsid w:val="00462A6A"/>
    <w:rsid w:val="004A7626"/>
    <w:rsid w:val="004B0ECD"/>
    <w:rsid w:val="004F11E0"/>
    <w:rsid w:val="004F6BCA"/>
    <w:rsid w:val="00500870"/>
    <w:rsid w:val="00512FE8"/>
    <w:rsid w:val="0056462A"/>
    <w:rsid w:val="00581D12"/>
    <w:rsid w:val="005C7A9A"/>
    <w:rsid w:val="005E74F5"/>
    <w:rsid w:val="005F7DFE"/>
    <w:rsid w:val="006169D3"/>
    <w:rsid w:val="006B083D"/>
    <w:rsid w:val="00756B3C"/>
    <w:rsid w:val="00783574"/>
    <w:rsid w:val="00784631"/>
    <w:rsid w:val="007A444D"/>
    <w:rsid w:val="007C71BE"/>
    <w:rsid w:val="007F4777"/>
    <w:rsid w:val="00836614"/>
    <w:rsid w:val="008876C3"/>
    <w:rsid w:val="008C4DF6"/>
    <w:rsid w:val="008D1A9B"/>
    <w:rsid w:val="009063F8"/>
    <w:rsid w:val="00917019"/>
    <w:rsid w:val="00942031"/>
    <w:rsid w:val="00950AF1"/>
    <w:rsid w:val="00983812"/>
    <w:rsid w:val="009B4C5D"/>
    <w:rsid w:val="009F653B"/>
    <w:rsid w:val="00A505DF"/>
    <w:rsid w:val="00A8519C"/>
    <w:rsid w:val="00AB0CFA"/>
    <w:rsid w:val="00AB42D9"/>
    <w:rsid w:val="00AC4C69"/>
    <w:rsid w:val="00AD3174"/>
    <w:rsid w:val="00AD53B7"/>
    <w:rsid w:val="00AF4D5B"/>
    <w:rsid w:val="00B031AD"/>
    <w:rsid w:val="00B10B32"/>
    <w:rsid w:val="00B15B95"/>
    <w:rsid w:val="00B17C96"/>
    <w:rsid w:val="00B2377C"/>
    <w:rsid w:val="00B52125"/>
    <w:rsid w:val="00B75FA4"/>
    <w:rsid w:val="00B9792C"/>
    <w:rsid w:val="00BD46D6"/>
    <w:rsid w:val="00BE5989"/>
    <w:rsid w:val="00BF3A2B"/>
    <w:rsid w:val="00C01D5A"/>
    <w:rsid w:val="00C72A2C"/>
    <w:rsid w:val="00C93A4D"/>
    <w:rsid w:val="00CD6474"/>
    <w:rsid w:val="00CF11DB"/>
    <w:rsid w:val="00D53491"/>
    <w:rsid w:val="00D71734"/>
    <w:rsid w:val="00DD6293"/>
    <w:rsid w:val="00DF0338"/>
    <w:rsid w:val="00E3171D"/>
    <w:rsid w:val="00E5065D"/>
    <w:rsid w:val="00E53DD6"/>
    <w:rsid w:val="00E9124B"/>
    <w:rsid w:val="00EE51AB"/>
    <w:rsid w:val="00EF00B8"/>
    <w:rsid w:val="00EF4BFB"/>
    <w:rsid w:val="00F33CF5"/>
    <w:rsid w:val="00F60E88"/>
    <w:rsid w:val="00F93E08"/>
    <w:rsid w:val="00FB46E4"/>
    <w:rsid w:val="00FC05A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F4E8-C796-4BBE-85A6-D0AC76A4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Pc06</cp:lastModifiedBy>
  <cp:revision>3</cp:revision>
  <cp:lastPrinted>2019-07-11T09:54:00Z</cp:lastPrinted>
  <dcterms:created xsi:type="dcterms:W3CDTF">2020-03-20T09:45:00Z</dcterms:created>
  <dcterms:modified xsi:type="dcterms:W3CDTF">2020-03-20T09:51:00Z</dcterms:modified>
</cp:coreProperties>
</file>