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238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160B32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#10</w:t>
                            </w:r>
                            <w:r w:rsidR="003D3EAC"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8063E4" w:rsidRPr="002B3BD3" w:rsidRDefault="00160B32" w:rsidP="009063F8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PROROGATA LA SOSPENSIONE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  <w:t xml:space="preserve"> DELLE ATTIVITA’</w:t>
                            </w: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9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" filled="f" stroked="f">
                <v:textbox>
                  <w:txbxContent>
                    <w:p w:rsidR="003D3EAC" w:rsidRPr="002B3BD3" w:rsidRDefault="00160B32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#10</w:t>
                      </w:r>
                      <w:r w:rsidR="003D3EAC"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8063E4" w:rsidRPr="002B3BD3" w:rsidRDefault="00160B32" w:rsidP="009063F8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PROROGATA LA SOSPENSIONE</w:t>
                      </w: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  <w:t xml:space="preserve"> DELLE ATTIVITA’</w:t>
                      </w: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8063E4" w:rsidRDefault="0004787B" w:rsidP="008063E4">
      <w:pPr>
        <w:spacing w:line="276" w:lineRule="auto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br/>
      </w:r>
    </w:p>
    <w:p w:rsidR="00160B32" w:rsidRDefault="00160B32" w:rsidP="00160B32">
      <w:pPr>
        <w:spacing w:line="360" w:lineRule="auto"/>
        <w:rPr>
          <w:rFonts w:cstheme="minorHAnsi"/>
          <w:sz w:val="24"/>
          <w:szCs w:val="20"/>
        </w:rPr>
      </w:pPr>
      <w:r w:rsidRPr="00160B32">
        <w:rPr>
          <w:rFonts w:cstheme="minorHAnsi"/>
          <w:sz w:val="24"/>
          <w:szCs w:val="20"/>
        </w:rPr>
        <w:t xml:space="preserve">In data 02 Aprile è stato pubblicato il Decreto che </w:t>
      </w:r>
    </w:p>
    <w:p w:rsidR="00342071" w:rsidRDefault="00160B32" w:rsidP="00160B32">
      <w:pPr>
        <w:spacing w:line="360" w:lineRule="auto"/>
        <w:jc w:val="center"/>
        <w:rPr>
          <w:rFonts w:cstheme="minorHAnsi"/>
          <w:b/>
          <w:color w:val="FF0000"/>
          <w:sz w:val="28"/>
          <w:szCs w:val="20"/>
        </w:rPr>
      </w:pPr>
      <w:r w:rsidRPr="00160B32">
        <w:rPr>
          <w:rFonts w:cstheme="minorHAnsi"/>
          <w:b/>
          <w:color w:val="FF0000"/>
          <w:sz w:val="28"/>
          <w:szCs w:val="20"/>
        </w:rPr>
        <w:t>proroga fino al 13 APRILE 2020 LA SOSPENSIONE DELLE ATTIVITA’</w:t>
      </w:r>
    </w:p>
    <w:p w:rsidR="00160B32" w:rsidRPr="00160B32" w:rsidRDefault="00160B32" w:rsidP="00160B32">
      <w:pPr>
        <w:spacing w:line="360" w:lineRule="auto"/>
        <w:jc w:val="center"/>
        <w:rPr>
          <w:rFonts w:cstheme="minorHAnsi"/>
          <w:b/>
          <w:color w:val="0070C0"/>
          <w:sz w:val="24"/>
          <w:szCs w:val="20"/>
        </w:rPr>
      </w:pPr>
      <w:r w:rsidRPr="00160B32">
        <w:rPr>
          <w:rFonts w:cstheme="minorHAnsi"/>
          <w:b/>
          <w:color w:val="0070C0"/>
          <w:sz w:val="24"/>
          <w:szCs w:val="20"/>
        </w:rPr>
        <w:t xml:space="preserve">Ricordiamo che lo Studio, nonostante la chiusura degli Uffici, rimane a Vostra completa disposizione. I Collaboratori risponderanno alle Vostre richieste ai numeri di cellulare comunicati nelle circolari precedenti. </w:t>
      </w:r>
    </w:p>
    <w:p w:rsidR="00160B32" w:rsidRDefault="00160B32" w:rsidP="00160B32">
      <w:pPr>
        <w:spacing w:line="36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Va ricordato che:</w:t>
      </w:r>
      <w:bookmarkStart w:id="0" w:name="_GoBack"/>
      <w:bookmarkEnd w:id="0"/>
    </w:p>
    <w:p w:rsidR="00160B32" w:rsidRDefault="00160B32" w:rsidP="00160B32">
      <w:pPr>
        <w:pStyle w:val="Paragrafoelenco"/>
        <w:numPr>
          <w:ilvl w:val="0"/>
          <w:numId w:val="49"/>
        </w:numPr>
        <w:spacing w:line="36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Ogni tipo di attività, anche quelle sospese, possono comunque proseguire se organizzate in modalità a distanza o lavoro agile (</w:t>
      </w:r>
      <w:r>
        <w:rPr>
          <w:rFonts w:cstheme="minorHAnsi"/>
          <w:i/>
          <w:sz w:val="24"/>
          <w:szCs w:val="20"/>
        </w:rPr>
        <w:t>smart working</w:t>
      </w:r>
      <w:r>
        <w:rPr>
          <w:rFonts w:cstheme="minorHAnsi"/>
          <w:sz w:val="24"/>
          <w:szCs w:val="20"/>
        </w:rPr>
        <w:t>);</w:t>
      </w:r>
    </w:p>
    <w:p w:rsidR="00160B32" w:rsidRDefault="00160B32" w:rsidP="00160B32">
      <w:pPr>
        <w:pStyle w:val="Paragrafoelenco"/>
        <w:numPr>
          <w:ilvl w:val="0"/>
          <w:numId w:val="49"/>
        </w:numPr>
        <w:spacing w:line="36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Restano consentite le attività che sono funzionali ad assicurare la continuità delle filiere delle attività ammesse, nonché dei servizi di pubblica utilità e dei servizi essenziali, previa comunicazione al Prefetto;</w:t>
      </w:r>
    </w:p>
    <w:p w:rsidR="00160B32" w:rsidRDefault="00160B32" w:rsidP="00160B32">
      <w:pPr>
        <w:pStyle w:val="Paragrafoelenco"/>
        <w:numPr>
          <w:ilvl w:val="0"/>
          <w:numId w:val="49"/>
        </w:numPr>
        <w:spacing w:line="36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È sempre consentita l’attività di produzione, trasporto, commercializzazione e consegna di farmaci e dispositivi medico-chirurgici (</w:t>
      </w:r>
      <w:r w:rsidRPr="00160B32">
        <w:rPr>
          <w:rFonts w:cstheme="minorHAnsi"/>
          <w:b/>
          <w:color w:val="FF0000"/>
          <w:sz w:val="24"/>
          <w:szCs w:val="20"/>
          <w:u w:val="single"/>
        </w:rPr>
        <w:t>non è consentita l’attività di vendita di prodotti nelle erboristerie</w:t>
      </w:r>
      <w:r>
        <w:rPr>
          <w:rFonts w:cstheme="minorHAnsi"/>
          <w:sz w:val="24"/>
          <w:szCs w:val="20"/>
        </w:rPr>
        <w:t>);</w:t>
      </w:r>
    </w:p>
    <w:p w:rsidR="00160B32" w:rsidRDefault="00160B32" w:rsidP="00160B32">
      <w:pPr>
        <w:pStyle w:val="Paragrafoelenco"/>
        <w:numPr>
          <w:ilvl w:val="0"/>
          <w:numId w:val="49"/>
        </w:numPr>
        <w:spacing w:line="36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Sono consentite le attività degli impianti a ciclo produttivo continuo, previa comunicazione al Prefetto. </w:t>
      </w:r>
    </w:p>
    <w:p w:rsidR="00160B32" w:rsidRDefault="00160B32" w:rsidP="00160B32">
      <w:pPr>
        <w:spacing w:line="360" w:lineRule="auto"/>
        <w:jc w:val="both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Vengono riportati di seguito i codici ATECO delle attività non soggette a sospensione, aggiornata alla luce dell’ultimo Decreto del 25/03: </w:t>
      </w:r>
    </w:p>
    <w:tbl>
      <w:tblPr>
        <w:tblW w:w="9645" w:type="dxa"/>
        <w:jc w:val="center"/>
        <w:tblBorders>
          <w:top w:val="single" w:sz="4" w:space="0" w:color="006EB9"/>
          <w:left w:val="single" w:sz="4" w:space="0" w:color="006EB9"/>
          <w:bottom w:val="single" w:sz="4" w:space="0" w:color="006EB9"/>
          <w:right w:val="single" w:sz="4" w:space="0" w:color="006EB9"/>
          <w:insideH w:val="single" w:sz="4" w:space="0" w:color="006EB9"/>
          <w:insideV w:val="single" w:sz="4" w:space="0" w:color="006EB9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8217"/>
      </w:tblGrid>
      <w:tr w:rsidR="00160B32" w:rsidTr="00065F38">
        <w:trPr>
          <w:trHeight w:val="337"/>
          <w:jc w:val="center"/>
        </w:trPr>
        <w:tc>
          <w:tcPr>
            <w:tcW w:w="1427" w:type="dxa"/>
            <w:shd w:val="clear" w:color="auto" w:fill="B2D3E9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b/>
                <w:bCs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b/>
                <w:bCs/>
                <w:sz w:val="20"/>
                <w:szCs w:val="20"/>
              </w:rPr>
              <w:t>ATECO</w:t>
            </w:r>
          </w:p>
        </w:tc>
        <w:tc>
          <w:tcPr>
            <w:tcW w:w="8212" w:type="dxa"/>
            <w:shd w:val="clear" w:color="auto" w:fill="B2D3E9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b/>
                <w:bCs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b/>
                <w:bCs/>
                <w:sz w:val="20"/>
                <w:szCs w:val="20"/>
              </w:rPr>
              <w:t>Descrizione</w:t>
            </w:r>
          </w:p>
        </w:tc>
      </w:tr>
      <w:tr w:rsidR="00160B32" w:rsidTr="00065F38">
        <w:trPr>
          <w:trHeight w:val="97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w w:val="99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w w:val="99"/>
                <w:sz w:val="20"/>
                <w:szCs w:val="20"/>
              </w:rPr>
              <w:t>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Coltivazioni agricole e produzione di prodotti animali</w:t>
            </w:r>
          </w:p>
        </w:tc>
      </w:tr>
      <w:tr w:rsidR="00160B32" w:rsidTr="00065F38">
        <w:trPr>
          <w:trHeight w:val="159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w w:val="99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w w:val="99"/>
                <w:sz w:val="20"/>
                <w:szCs w:val="20"/>
              </w:rPr>
              <w:t>3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Pesca e acquacoltura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w w:val="99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w w:val="99"/>
                <w:sz w:val="20"/>
                <w:szCs w:val="20"/>
              </w:rPr>
              <w:t>5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Estrazione di carbone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w w:val="99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w w:val="99"/>
                <w:sz w:val="20"/>
                <w:szCs w:val="20"/>
              </w:rPr>
              <w:t>6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Estrazione di petrolio greggio e di gas naturale</w:t>
            </w:r>
          </w:p>
        </w:tc>
      </w:tr>
      <w:tr w:rsidR="00160B32" w:rsidTr="00065F38">
        <w:trPr>
          <w:trHeight w:val="57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09.1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dei servizi di supporto all'estrazione di petrolio e di gas naturale</w:t>
            </w:r>
          </w:p>
        </w:tc>
      </w:tr>
      <w:tr w:rsidR="00160B32" w:rsidTr="00065F38">
        <w:trPr>
          <w:trHeight w:val="179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Industrie alimentari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Industria delle bevande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13.96.20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altri articoli tessili tecnici e industriali</w:t>
            </w:r>
          </w:p>
        </w:tc>
      </w:tr>
      <w:tr w:rsidR="00160B32" w:rsidTr="00065F38">
        <w:trPr>
          <w:trHeight w:val="123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13.95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tessuti non tessuti e di articoli in tali materie (esclusi gli articoli di abbigliamento)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14.12.00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Confezioni di camici, divise e altri indumenti da lavoro</w:t>
            </w:r>
          </w:p>
        </w:tc>
      </w:tr>
      <w:tr w:rsidR="00160B32" w:rsidTr="00065F38">
        <w:trPr>
          <w:trHeight w:val="61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16.24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imballaggi in legno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17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carta (a esclusione dei codici: 17.23 e 17.24)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lastRenderedPageBreak/>
              <w:t>18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Stampa e riproduzione di supporti registrati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19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coke e prodotti derivanti dalla raffinazione del petrolio</w:t>
            </w:r>
          </w:p>
        </w:tc>
      </w:tr>
      <w:tr w:rsidR="00160B32" w:rsidTr="00065F38">
        <w:trPr>
          <w:trHeight w:val="141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prodotti chimici (a esclusione dei codici: 20.12 - 20.51.01 - 20.51.02 - 20.59.50 - 20.59.60)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prodotti farmaceutici di base e di preparati farmaceutici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22.2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articoli in materie plastiche (a esclusione dei codici: 22.29.01 e 22.29.02)</w:t>
            </w:r>
          </w:p>
        </w:tc>
      </w:tr>
      <w:tr w:rsidR="00160B32" w:rsidTr="00065F38">
        <w:trPr>
          <w:trHeight w:val="13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23.13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vetro cavo</w:t>
            </w:r>
          </w:p>
        </w:tc>
      </w:tr>
      <w:tr w:rsidR="00160B32" w:rsidTr="00065F38">
        <w:trPr>
          <w:trHeight w:val="119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23.19.10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vetrerie per laboratori, per uso igienico, per farmacia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25.21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radiatori e contenitori in metallo per caldaie per il riscaldamento centrale</w:t>
            </w:r>
          </w:p>
        </w:tc>
      </w:tr>
      <w:tr w:rsidR="00160B32" w:rsidTr="00065F38">
        <w:trPr>
          <w:trHeight w:val="99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25.92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imballaggi leggeri in metallo</w:t>
            </w:r>
          </w:p>
        </w:tc>
      </w:tr>
      <w:tr w:rsidR="00160B32" w:rsidTr="00065F38">
        <w:trPr>
          <w:trHeight w:val="104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26.6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tabs>
                <w:tab w:val="left" w:pos="1569"/>
                <w:tab w:val="left" w:pos="1931"/>
                <w:tab w:val="left" w:pos="3116"/>
                <w:tab w:val="left" w:pos="3610"/>
                <w:tab w:val="left" w:pos="4906"/>
                <w:tab w:val="left" w:pos="6545"/>
                <w:tab w:val="left" w:pos="8037"/>
              </w:tabs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 xml:space="preserve">Fabbricazione di apparecchi per irradiazione, apparecchiature elettromedicali </w:t>
            </w:r>
            <w:r w:rsidRPr="00A10CF1">
              <w:rPr>
                <w:rFonts w:ascii="PT Sans" w:eastAsia="Calibri" w:hAnsi="PT Sans"/>
                <w:spacing w:val="-12"/>
                <w:sz w:val="20"/>
                <w:szCs w:val="20"/>
              </w:rPr>
              <w:t xml:space="preserve">ed 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>elettroterapeutiche</w:t>
            </w:r>
          </w:p>
        </w:tc>
      </w:tr>
      <w:tr w:rsidR="00160B32" w:rsidTr="00065F38">
        <w:trPr>
          <w:trHeight w:val="4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27.1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motori, generatori e trasformatori elettrici e di apparecchiature per la distribuzione e il controllo dell'elettricità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27.2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batterie di pile e di accumulatori elettrici</w:t>
            </w:r>
          </w:p>
        </w:tc>
      </w:tr>
      <w:tr w:rsidR="00160B32" w:rsidTr="00065F38">
        <w:trPr>
          <w:trHeight w:val="95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28.29.30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macchine automatiche per la dosatura, la confezione e per l’imballaggio</w:t>
            </w:r>
          </w:p>
        </w:tc>
      </w:tr>
      <w:tr w:rsidR="00160B32" w:rsidTr="00065F38">
        <w:trPr>
          <w:trHeight w:val="8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28.95.00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macchine per l'industria della carta e del cartone (incluse parti e accessori)</w:t>
            </w:r>
          </w:p>
        </w:tc>
      </w:tr>
      <w:tr w:rsidR="00160B32" w:rsidTr="00065F38">
        <w:trPr>
          <w:trHeight w:val="4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28.96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macchine per l'industria delle materie plastiche e della gomma (incluse parti e accessori)</w:t>
            </w:r>
          </w:p>
        </w:tc>
      </w:tr>
      <w:tr w:rsidR="00160B32" w:rsidTr="00065F38">
        <w:trPr>
          <w:trHeight w:val="69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32.50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strumenti e forniture mediche e dentistiche</w:t>
            </w:r>
          </w:p>
        </w:tc>
      </w:tr>
      <w:tr w:rsidR="00160B32" w:rsidTr="00065F38">
        <w:trPr>
          <w:trHeight w:val="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32.99.1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attrezzature e articoli di vestiario protettivi di sicurezza</w:t>
            </w:r>
          </w:p>
        </w:tc>
      </w:tr>
      <w:tr w:rsidR="00160B32" w:rsidTr="00065F38">
        <w:trPr>
          <w:trHeight w:val="5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32.99.4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Fabbricazione di casse funebri</w:t>
            </w:r>
          </w:p>
        </w:tc>
      </w:tr>
      <w:tr w:rsidR="00160B32" w:rsidTr="00065F38">
        <w:trPr>
          <w:trHeight w:val="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33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Riparazione e manutenzione installazione di macchine e apparecchiature (a esclusione dei seguenti codici: 33.11.01, 33.11.02, 33.11.03, 33.11.04, 33.11.05, 33.11.07, 33.11.09, 33.12.92, 33.16, 33.17)</w:t>
            </w:r>
          </w:p>
        </w:tc>
      </w:tr>
      <w:tr w:rsidR="00160B32" w:rsidTr="00065F38">
        <w:trPr>
          <w:trHeight w:val="14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35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Fornitura di energia elettrica, gas, vapore e aria condizionata</w:t>
            </w:r>
          </w:p>
        </w:tc>
      </w:tr>
      <w:tr w:rsidR="00160B32" w:rsidTr="00065F38">
        <w:trPr>
          <w:trHeight w:val="14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36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Raccolta, trattamento e fornitura di acqua</w:t>
            </w:r>
          </w:p>
        </w:tc>
      </w:tr>
      <w:tr w:rsidR="00160B32" w:rsidTr="00065F38">
        <w:trPr>
          <w:trHeight w:val="131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37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Gestione delle reti fognarie</w:t>
            </w:r>
          </w:p>
        </w:tc>
      </w:tr>
      <w:tr w:rsidR="00160B32" w:rsidTr="00065F38">
        <w:trPr>
          <w:trHeight w:val="135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38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di raccolta, trattamento e smaltimento dei rifiuti; recupero dei materiali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39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di risanamento e altri servizi di gestione dei rifiuti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Ingegneria civile (ad esclusione dei seguenti codici: 42.91, 42.99.09 e 42.99.10)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43.2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Installazione di impianti elettrici, idraulici e altri lavori di costruzioni e installazioni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45.2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Manutenzione e riparazione di autoveicoli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45.3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di parti e accessori di autoveicoli</w:t>
            </w:r>
          </w:p>
        </w:tc>
      </w:tr>
      <w:tr w:rsidR="00160B32" w:rsidTr="00065F38">
        <w:trPr>
          <w:trHeight w:val="4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45.4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Per la sola attività di manutenzione e riparazione di motocicli e commercio di relative parti e accessori</w:t>
            </w:r>
          </w:p>
        </w:tc>
      </w:tr>
      <w:tr w:rsidR="00160B32" w:rsidTr="00065F38">
        <w:trPr>
          <w:trHeight w:val="96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materie prime agricole e animali vivi</w:t>
            </w:r>
          </w:p>
        </w:tc>
      </w:tr>
      <w:tr w:rsidR="00160B32" w:rsidTr="00065F38">
        <w:trPr>
          <w:trHeight w:val="71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46.3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prodotti alimentari, bevande e prodotti del tabacco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46.46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prodotti farmaceutici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46.49.2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libri riviste e giornali</w:t>
            </w:r>
          </w:p>
        </w:tc>
      </w:tr>
      <w:tr w:rsidR="00160B32" w:rsidTr="00065F38">
        <w:trPr>
          <w:trHeight w:val="4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46.61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macchinari, attrezzature, macchine, accessori, forniture agricole e utensili agricoli, inclusi i trattori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46.69.91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strumenti e attrezzature ad uso scientifico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46.69.94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articoli antincendio e infortunistici</w:t>
            </w:r>
          </w:p>
        </w:tc>
      </w:tr>
      <w:tr w:rsidR="00160B32" w:rsidTr="00065F38">
        <w:trPr>
          <w:trHeight w:val="4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46.71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Commercio all'ingrosso di prodotti petroliferi e lubrificanti per autotrazione, di combustibili per riscaldamento</w:t>
            </w:r>
          </w:p>
        </w:tc>
      </w:tr>
      <w:tr w:rsidR="00160B32" w:rsidTr="00065F38">
        <w:trPr>
          <w:trHeight w:val="194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49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Trasporto terrestre e trasporto mediante condotte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50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Trasporto marittimo e per vie d'acqua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51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Trasporto aereo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52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Magazzinaggio e attività di supporto ai trasporti</w:t>
            </w:r>
          </w:p>
        </w:tc>
      </w:tr>
      <w:tr w:rsidR="00160B32" w:rsidTr="00065F38">
        <w:trPr>
          <w:trHeight w:val="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53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Servizi postali e attività di corriere</w:t>
            </w:r>
          </w:p>
        </w:tc>
      </w:tr>
      <w:tr w:rsidR="00160B32" w:rsidTr="00065F38">
        <w:trPr>
          <w:trHeight w:val="71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55.1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Alberghi e strutture simili</w:t>
            </w:r>
          </w:p>
        </w:tc>
      </w:tr>
      <w:tr w:rsidR="00160B32" w:rsidTr="00065F38">
        <w:trPr>
          <w:trHeight w:val="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lastRenderedPageBreak/>
              <w:t>J (da 58 a 63)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Servizi di informazione e comunicazione</w:t>
            </w:r>
          </w:p>
        </w:tc>
      </w:tr>
      <w:tr w:rsidR="00160B32" w:rsidTr="00065F38">
        <w:trPr>
          <w:trHeight w:val="6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K (da 64 a 66)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finanziarie e assicurative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69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legali e contabili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70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di direzione aziendali e di consulenza gestionale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71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degli studi di architettura e d'ingegneria; collaudi ed analisi tecniche</w:t>
            </w:r>
          </w:p>
        </w:tc>
      </w:tr>
      <w:tr w:rsidR="00160B32" w:rsidTr="00065F38">
        <w:trPr>
          <w:trHeight w:val="15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72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Ricerca scientifica e sviluppo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74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professionali, scientifiche e tecniche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75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Servizi veterinari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78.2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delle agenzie di lavoro temporaneo (interinale)</w:t>
            </w:r>
            <w:r w:rsidRPr="00A10CF1">
              <w:rPr>
                <w:rFonts w:ascii="PT Sans" w:eastAsia="Calibri" w:hAnsi="PT Sans"/>
                <w:sz w:val="20"/>
                <w:szCs w:val="20"/>
                <w:vertAlign w:val="superscript"/>
              </w:rPr>
              <w:t>1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80.1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Servizi di vigilanza privata</w:t>
            </w:r>
          </w:p>
        </w:tc>
      </w:tr>
      <w:tr w:rsidR="00160B32" w:rsidTr="00065F38">
        <w:trPr>
          <w:trHeight w:val="113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80.2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Servizi connessi ai sistemi di vigilanza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81.2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di pulizia e disinfestazione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82.20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dei call center</w:t>
            </w:r>
            <w:r w:rsidRPr="00A10CF1">
              <w:rPr>
                <w:rFonts w:ascii="PT Sans" w:eastAsia="Calibri" w:hAnsi="PT Sans"/>
                <w:sz w:val="20"/>
                <w:szCs w:val="20"/>
                <w:vertAlign w:val="superscript"/>
              </w:rPr>
              <w:t>2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82.92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di imballaggio e confezionamento conto terzi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82.99.2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Agenzie di distribuzione di libri, giornali e riviste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82.99.99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Altri servizi di sostegno alle imprese</w:t>
            </w:r>
            <w:r w:rsidRPr="00A10CF1">
              <w:rPr>
                <w:rFonts w:ascii="PT Sans" w:eastAsia="Calibri" w:hAnsi="PT Sans"/>
                <w:sz w:val="20"/>
                <w:szCs w:val="20"/>
                <w:vertAlign w:val="superscript"/>
              </w:rPr>
              <w:t>3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84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Amministrazione pubblica e difesa; assicurazione sociale obbligatoria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85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Istruzione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86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Assistenza sanitaria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87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Servizi di assistenza sociale residenziale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88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Assistenza sociale non residenziale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94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di organizzazioni economiche, di datori di lavoro e professionali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95.11.00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Riparazione e manutenzione di computer e periferiche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95.12.01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Riparazione e manutenzione di telefoni fissi, cordless e cellulari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95.12.09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Riparazione e manutenzione di altre apparecchiature per le comunicazioni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95.22.01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Riparazione di elettrodomestici e di articoli per la casa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1427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97</w:t>
            </w:r>
          </w:p>
        </w:tc>
        <w:tc>
          <w:tcPr>
            <w:tcW w:w="8212" w:type="dxa"/>
            <w:vAlign w:val="center"/>
            <w:hideMark/>
          </w:tcPr>
          <w:p w:rsidR="00160B32" w:rsidRPr="00A10CF1" w:rsidRDefault="00160B32" w:rsidP="00065F38">
            <w:pPr>
              <w:pStyle w:val="TableParagraph"/>
              <w:kinsoku w:val="0"/>
              <w:overflowPunct w:val="0"/>
              <w:spacing w:before="0" w:line="280" w:lineRule="exact"/>
              <w:ind w:left="57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</w:rPr>
              <w:t>Attività di famiglie e convivenze come datori di lavoro per personale domestico</w:t>
            </w:r>
          </w:p>
        </w:tc>
      </w:tr>
      <w:tr w:rsidR="00160B32" w:rsidTr="00065F38">
        <w:trPr>
          <w:trHeight w:val="70"/>
          <w:jc w:val="center"/>
        </w:trPr>
        <w:tc>
          <w:tcPr>
            <w:tcW w:w="9639" w:type="dxa"/>
            <w:gridSpan w:val="2"/>
            <w:vAlign w:val="center"/>
            <w:hideMark/>
          </w:tcPr>
          <w:p w:rsidR="00160B32" w:rsidRPr="00A10CF1" w:rsidRDefault="00160B32" w:rsidP="00065F38">
            <w:pPr>
              <w:pStyle w:val="Corpotesto"/>
              <w:kinsoku w:val="0"/>
              <w:overflowPunct w:val="0"/>
              <w:spacing w:after="0" w:line="280" w:lineRule="exact"/>
              <w:ind w:right="235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  <w:vertAlign w:val="superscript"/>
              </w:rPr>
              <w:t>1.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 xml:space="preserve"> Nei limiti in cui siano espletate in relazione alle attività di cui agli allegati 1 e 2, D.P.C.M. 11 marzo 2020 e di cui all’allegato 1, D.P.C.M. 22 marzo 2020, come modificato dal presente D.M..</w:t>
            </w:r>
          </w:p>
          <w:p w:rsidR="00160B32" w:rsidRPr="00A10CF1" w:rsidRDefault="00160B32" w:rsidP="00065F38">
            <w:pPr>
              <w:pStyle w:val="Corpotesto"/>
              <w:kinsoku w:val="0"/>
              <w:overflowPunct w:val="0"/>
              <w:spacing w:after="0" w:line="280" w:lineRule="exact"/>
              <w:ind w:right="232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  <w:vertAlign w:val="superscript"/>
              </w:rPr>
              <w:t>2.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 xml:space="preserve"> Limitatamente all’attività di </w:t>
            </w:r>
            <w:r w:rsidRPr="00A10CF1">
              <w:rPr>
                <w:rFonts w:ascii="PT Sans" w:eastAsia="Calibri" w:hAnsi="PT Sans"/>
                <w:i/>
                <w:iCs/>
                <w:sz w:val="20"/>
                <w:szCs w:val="20"/>
              </w:rPr>
              <w:t xml:space="preserve">call center 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>in entrata (</w:t>
            </w:r>
            <w:r w:rsidRPr="00A10CF1">
              <w:rPr>
                <w:rFonts w:ascii="PT Sans" w:eastAsia="Calibri" w:hAnsi="PT Sans"/>
                <w:i/>
                <w:iCs/>
                <w:sz w:val="20"/>
                <w:szCs w:val="20"/>
              </w:rPr>
              <w:t>inbound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>), con l’esclusione delle attività in uscita (</w:t>
            </w:r>
            <w:r w:rsidRPr="00A10CF1">
              <w:rPr>
                <w:rFonts w:ascii="PT Sans" w:eastAsia="Calibri" w:hAnsi="PT Sans"/>
                <w:i/>
                <w:iCs/>
                <w:sz w:val="20"/>
                <w:szCs w:val="20"/>
              </w:rPr>
              <w:t>outbound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 xml:space="preserve">) e dei servizi telefonici a carattere ricreativo. I </w:t>
            </w:r>
            <w:r w:rsidRPr="00A10CF1">
              <w:rPr>
                <w:rFonts w:ascii="PT Sans" w:eastAsia="Calibri" w:hAnsi="PT Sans"/>
                <w:i/>
                <w:iCs/>
                <w:sz w:val="20"/>
                <w:szCs w:val="20"/>
              </w:rPr>
              <w:t>call center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 xml:space="preserve"> in entrata (</w:t>
            </w:r>
            <w:r w:rsidRPr="00A10CF1">
              <w:rPr>
                <w:rFonts w:ascii="PT Sans" w:eastAsia="Calibri" w:hAnsi="PT Sans"/>
                <w:i/>
                <w:iCs/>
                <w:sz w:val="20"/>
                <w:szCs w:val="20"/>
              </w:rPr>
              <w:t>inbound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>) possono operare nei limiti in cui siano espletate in relazione alle attività di cui agli allegati 1 e 2, D.P.C.M. 11 marzo 2020, e di cui all’allegato 1, D.P.C.M. 22 marzo 2020, come modificato dal presente D.M..</w:t>
            </w:r>
          </w:p>
          <w:p w:rsidR="00160B32" w:rsidRPr="00A10CF1" w:rsidRDefault="00160B32" w:rsidP="00065F38">
            <w:pPr>
              <w:pStyle w:val="Corpotesto"/>
              <w:kinsoku w:val="0"/>
              <w:overflowPunct w:val="0"/>
              <w:spacing w:after="0" w:line="280" w:lineRule="exact"/>
              <w:jc w:val="both"/>
              <w:rPr>
                <w:rFonts w:ascii="PT Sans" w:eastAsia="Calibri" w:hAnsi="PT Sans"/>
                <w:sz w:val="20"/>
                <w:szCs w:val="20"/>
              </w:rPr>
            </w:pPr>
            <w:r w:rsidRPr="00A10CF1">
              <w:rPr>
                <w:rFonts w:ascii="PT Sans" w:eastAsia="Calibri" w:hAnsi="PT Sans"/>
                <w:sz w:val="20"/>
                <w:szCs w:val="20"/>
                <w:vertAlign w:val="superscript"/>
              </w:rPr>
              <w:t>3.</w:t>
            </w:r>
            <w:r w:rsidRPr="00A10CF1">
              <w:rPr>
                <w:rFonts w:ascii="PT Sans" w:eastAsia="Calibri" w:hAnsi="PT Sans"/>
                <w:sz w:val="20"/>
                <w:szCs w:val="20"/>
              </w:rPr>
              <w:t xml:space="preserve"> Limitatamente all’attività relativa alle consegne a domicilio di prodotti.</w:t>
            </w:r>
          </w:p>
        </w:tc>
      </w:tr>
    </w:tbl>
    <w:p w:rsidR="00160B32" w:rsidRPr="00160B32" w:rsidRDefault="00160B32" w:rsidP="00160B32">
      <w:pPr>
        <w:spacing w:line="360" w:lineRule="auto"/>
        <w:jc w:val="both"/>
        <w:rPr>
          <w:rFonts w:cstheme="minorHAnsi"/>
          <w:sz w:val="24"/>
          <w:szCs w:val="20"/>
        </w:rPr>
      </w:pPr>
    </w:p>
    <w:p w:rsidR="008063E4" w:rsidRDefault="008063E4" w:rsidP="008063E4">
      <w:pPr>
        <w:pStyle w:val="Paragrafoelenco"/>
        <w:spacing w:line="276" w:lineRule="auto"/>
        <w:jc w:val="center"/>
        <w:rPr>
          <w:rFonts w:ascii="Comic Sans MS" w:hAnsi="Comic Sans MS"/>
          <w:sz w:val="24"/>
          <w:szCs w:val="20"/>
        </w:rPr>
      </w:pPr>
    </w:p>
    <w:p w:rsidR="00BF3A2B" w:rsidRPr="008063E4" w:rsidRDefault="009063F8" w:rsidP="008063E4">
      <w:pPr>
        <w:pStyle w:val="Paragrafoelenco"/>
        <w:spacing w:line="276" w:lineRule="auto"/>
        <w:jc w:val="center"/>
        <w:rPr>
          <w:rFonts w:ascii="Comic Sans MS" w:hAnsi="Comic Sans MS"/>
          <w:sz w:val="24"/>
          <w:szCs w:val="20"/>
        </w:rPr>
      </w:pPr>
      <w:r w:rsidRPr="008063E4">
        <w:rPr>
          <w:rFonts w:ascii="Comic Sans MS" w:hAnsi="Comic Sans MS"/>
          <w:sz w:val="24"/>
          <w:szCs w:val="20"/>
        </w:rPr>
        <w:br/>
      </w:r>
    </w:p>
    <w:sectPr w:rsidR="00BF3A2B" w:rsidRPr="008063E4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25C"/>
    <w:multiLevelType w:val="hybridMultilevel"/>
    <w:tmpl w:val="EBBC29CE"/>
    <w:lvl w:ilvl="0" w:tplc="2B6E6618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3750F"/>
    <w:multiLevelType w:val="hybridMultilevel"/>
    <w:tmpl w:val="3F341DCC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FF4EC7"/>
    <w:multiLevelType w:val="hybridMultilevel"/>
    <w:tmpl w:val="73227E80"/>
    <w:lvl w:ilvl="0" w:tplc="0CC67B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12683"/>
    <w:multiLevelType w:val="hybridMultilevel"/>
    <w:tmpl w:val="BA5A9460"/>
    <w:lvl w:ilvl="0" w:tplc="9A9E1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1D44"/>
    <w:multiLevelType w:val="hybridMultilevel"/>
    <w:tmpl w:val="D8CEDF02"/>
    <w:lvl w:ilvl="0" w:tplc="3F3E867C">
      <w:start w:val="3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55634"/>
    <w:multiLevelType w:val="hybridMultilevel"/>
    <w:tmpl w:val="6262CB2A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EB43AFD"/>
    <w:multiLevelType w:val="hybridMultilevel"/>
    <w:tmpl w:val="BE007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7604"/>
    <w:multiLevelType w:val="hybridMultilevel"/>
    <w:tmpl w:val="9EE892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3263C"/>
    <w:multiLevelType w:val="hybridMultilevel"/>
    <w:tmpl w:val="F80EC6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502F84"/>
    <w:multiLevelType w:val="hybridMultilevel"/>
    <w:tmpl w:val="4956E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248"/>
    <w:multiLevelType w:val="hybridMultilevel"/>
    <w:tmpl w:val="FEB883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373FC6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7565"/>
    <w:multiLevelType w:val="hybridMultilevel"/>
    <w:tmpl w:val="9E8AAD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07829"/>
    <w:multiLevelType w:val="hybridMultilevel"/>
    <w:tmpl w:val="023A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F0900"/>
    <w:multiLevelType w:val="hybridMultilevel"/>
    <w:tmpl w:val="F0BA980E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23C139A"/>
    <w:multiLevelType w:val="hybridMultilevel"/>
    <w:tmpl w:val="4C5821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6335A"/>
    <w:multiLevelType w:val="hybridMultilevel"/>
    <w:tmpl w:val="6C489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054C2"/>
    <w:multiLevelType w:val="hybridMultilevel"/>
    <w:tmpl w:val="E7C2A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25AB3"/>
    <w:multiLevelType w:val="hybridMultilevel"/>
    <w:tmpl w:val="785CDC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E47212"/>
    <w:multiLevelType w:val="hybridMultilevel"/>
    <w:tmpl w:val="73F8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A6D0E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15419"/>
    <w:multiLevelType w:val="hybridMultilevel"/>
    <w:tmpl w:val="4558C4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EC4958"/>
    <w:multiLevelType w:val="hybridMultilevel"/>
    <w:tmpl w:val="B4467996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D03A66"/>
    <w:multiLevelType w:val="hybridMultilevel"/>
    <w:tmpl w:val="8C18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A6F51"/>
    <w:multiLevelType w:val="hybridMultilevel"/>
    <w:tmpl w:val="814E103C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059C1"/>
    <w:multiLevelType w:val="hybridMultilevel"/>
    <w:tmpl w:val="58BEEB9E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3E27"/>
    <w:multiLevelType w:val="hybridMultilevel"/>
    <w:tmpl w:val="6F26A3D2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8C782C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36070"/>
    <w:multiLevelType w:val="hybridMultilevel"/>
    <w:tmpl w:val="EBFCDE70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4ECE7F1D"/>
    <w:multiLevelType w:val="hybridMultilevel"/>
    <w:tmpl w:val="9EEE9D1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4B14075"/>
    <w:multiLevelType w:val="hybridMultilevel"/>
    <w:tmpl w:val="359C20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4E1054E"/>
    <w:multiLevelType w:val="hybridMultilevel"/>
    <w:tmpl w:val="856CEEF8"/>
    <w:lvl w:ilvl="0" w:tplc="CCB2670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45E10"/>
    <w:multiLevelType w:val="hybridMultilevel"/>
    <w:tmpl w:val="9710C61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913980"/>
    <w:multiLevelType w:val="hybridMultilevel"/>
    <w:tmpl w:val="4B94BE2C"/>
    <w:lvl w:ilvl="0" w:tplc="1A267F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25795F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1739B"/>
    <w:multiLevelType w:val="hybridMultilevel"/>
    <w:tmpl w:val="A606DA7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9D9681F"/>
    <w:multiLevelType w:val="hybridMultilevel"/>
    <w:tmpl w:val="15441580"/>
    <w:lvl w:ilvl="0" w:tplc="2B6E66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D364B6"/>
    <w:multiLevelType w:val="hybridMultilevel"/>
    <w:tmpl w:val="8572F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815B8"/>
    <w:multiLevelType w:val="hybridMultilevel"/>
    <w:tmpl w:val="ACCA41E0"/>
    <w:lvl w:ilvl="0" w:tplc="2CFAD2A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A4507A"/>
    <w:multiLevelType w:val="hybridMultilevel"/>
    <w:tmpl w:val="3FDC6BFA"/>
    <w:lvl w:ilvl="0" w:tplc="9B1047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3C2860"/>
    <w:multiLevelType w:val="hybridMultilevel"/>
    <w:tmpl w:val="489CDE5A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D77A58"/>
    <w:multiLevelType w:val="hybridMultilevel"/>
    <w:tmpl w:val="3356E734"/>
    <w:lvl w:ilvl="0" w:tplc="45F66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42A51"/>
    <w:multiLevelType w:val="hybridMultilevel"/>
    <w:tmpl w:val="291685F6"/>
    <w:lvl w:ilvl="0" w:tplc="6EAE8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87646"/>
    <w:multiLevelType w:val="hybridMultilevel"/>
    <w:tmpl w:val="7AF8E6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065DF2"/>
    <w:multiLevelType w:val="hybridMultilevel"/>
    <w:tmpl w:val="0682FA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066241"/>
    <w:multiLevelType w:val="hybridMultilevel"/>
    <w:tmpl w:val="4D2E4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D47E1"/>
    <w:multiLevelType w:val="hybridMultilevel"/>
    <w:tmpl w:val="AAAAAE4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7B036242"/>
    <w:multiLevelType w:val="hybridMultilevel"/>
    <w:tmpl w:val="0B7AC4FC"/>
    <w:lvl w:ilvl="0" w:tplc="9B1047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34EE8"/>
    <w:multiLevelType w:val="hybridMultilevel"/>
    <w:tmpl w:val="9F307ACE"/>
    <w:lvl w:ilvl="0" w:tplc="04100017">
      <w:start w:val="1"/>
      <w:numFmt w:val="lowerLetter"/>
      <w:lvlText w:val="%1)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1"/>
  </w:num>
  <w:num w:numId="2">
    <w:abstractNumId w:val="17"/>
  </w:num>
  <w:num w:numId="3">
    <w:abstractNumId w:val="36"/>
  </w:num>
  <w:num w:numId="4">
    <w:abstractNumId w:val="0"/>
  </w:num>
  <w:num w:numId="5">
    <w:abstractNumId w:val="24"/>
  </w:num>
  <w:num w:numId="6">
    <w:abstractNumId w:val="33"/>
  </w:num>
  <w:num w:numId="7">
    <w:abstractNumId w:val="43"/>
  </w:num>
  <w:num w:numId="8">
    <w:abstractNumId w:val="21"/>
  </w:num>
  <w:num w:numId="9">
    <w:abstractNumId w:val="4"/>
  </w:num>
  <w:num w:numId="10">
    <w:abstractNumId w:val="42"/>
  </w:num>
  <w:num w:numId="11">
    <w:abstractNumId w:val="18"/>
  </w:num>
  <w:num w:numId="12">
    <w:abstractNumId w:val="7"/>
  </w:num>
  <w:num w:numId="13">
    <w:abstractNumId w:val="46"/>
  </w:num>
  <w:num w:numId="14">
    <w:abstractNumId w:val="5"/>
  </w:num>
  <w:num w:numId="15">
    <w:abstractNumId w:val="28"/>
  </w:num>
  <w:num w:numId="16">
    <w:abstractNumId w:val="25"/>
  </w:num>
  <w:num w:numId="17">
    <w:abstractNumId w:val="8"/>
  </w:num>
  <w:num w:numId="18">
    <w:abstractNumId w:val="29"/>
  </w:num>
  <w:num w:numId="19">
    <w:abstractNumId w:val="12"/>
  </w:num>
  <w:num w:numId="20">
    <w:abstractNumId w:val="26"/>
  </w:num>
  <w:num w:numId="21">
    <w:abstractNumId w:val="35"/>
  </w:num>
  <w:num w:numId="22">
    <w:abstractNumId w:val="10"/>
  </w:num>
  <w:num w:numId="23">
    <w:abstractNumId w:val="2"/>
  </w:num>
  <w:num w:numId="24">
    <w:abstractNumId w:val="14"/>
  </w:num>
  <w:num w:numId="25">
    <w:abstractNumId w:val="22"/>
  </w:num>
  <w:num w:numId="26">
    <w:abstractNumId w:val="30"/>
  </w:num>
  <w:num w:numId="27">
    <w:abstractNumId w:val="1"/>
  </w:num>
  <w:num w:numId="28">
    <w:abstractNumId w:val="40"/>
  </w:num>
  <w:num w:numId="29">
    <w:abstractNumId w:val="16"/>
  </w:num>
  <w:num w:numId="30">
    <w:abstractNumId w:val="23"/>
  </w:num>
  <w:num w:numId="31">
    <w:abstractNumId w:val="19"/>
  </w:num>
  <w:num w:numId="32">
    <w:abstractNumId w:val="47"/>
  </w:num>
  <w:num w:numId="33">
    <w:abstractNumId w:val="39"/>
  </w:num>
  <w:num w:numId="34">
    <w:abstractNumId w:val="41"/>
  </w:num>
  <w:num w:numId="35">
    <w:abstractNumId w:val="3"/>
  </w:num>
  <w:num w:numId="36">
    <w:abstractNumId w:val="13"/>
  </w:num>
  <w:num w:numId="37">
    <w:abstractNumId w:val="38"/>
  </w:num>
  <w:num w:numId="38">
    <w:abstractNumId w:val="32"/>
  </w:num>
  <w:num w:numId="39">
    <w:abstractNumId w:val="15"/>
  </w:num>
  <w:num w:numId="40">
    <w:abstractNumId w:val="48"/>
  </w:num>
  <w:num w:numId="41">
    <w:abstractNumId w:val="11"/>
  </w:num>
  <w:num w:numId="42">
    <w:abstractNumId w:val="44"/>
  </w:num>
  <w:num w:numId="43">
    <w:abstractNumId w:val="27"/>
  </w:num>
  <w:num w:numId="44">
    <w:abstractNumId w:val="20"/>
  </w:num>
  <w:num w:numId="45">
    <w:abstractNumId w:val="34"/>
  </w:num>
  <w:num w:numId="46">
    <w:abstractNumId w:val="37"/>
  </w:num>
  <w:num w:numId="47">
    <w:abstractNumId w:val="6"/>
  </w:num>
  <w:num w:numId="48">
    <w:abstractNumId w:val="4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4787B"/>
    <w:rsid w:val="00093701"/>
    <w:rsid w:val="000C1987"/>
    <w:rsid w:val="000D7B07"/>
    <w:rsid w:val="00105395"/>
    <w:rsid w:val="00140977"/>
    <w:rsid w:val="00160653"/>
    <w:rsid w:val="00160B32"/>
    <w:rsid w:val="001B59E5"/>
    <w:rsid w:val="0021383A"/>
    <w:rsid w:val="002714CD"/>
    <w:rsid w:val="00276918"/>
    <w:rsid w:val="00281AD8"/>
    <w:rsid w:val="002A71EA"/>
    <w:rsid w:val="002B3BD3"/>
    <w:rsid w:val="00342071"/>
    <w:rsid w:val="00353955"/>
    <w:rsid w:val="003B6B04"/>
    <w:rsid w:val="003D3EAC"/>
    <w:rsid w:val="004036FE"/>
    <w:rsid w:val="00403B09"/>
    <w:rsid w:val="00403DE8"/>
    <w:rsid w:val="00415E75"/>
    <w:rsid w:val="00462A6A"/>
    <w:rsid w:val="004A7626"/>
    <w:rsid w:val="004B0ECD"/>
    <w:rsid w:val="004F11E0"/>
    <w:rsid w:val="004F6BCA"/>
    <w:rsid w:val="00500870"/>
    <w:rsid w:val="00512FE8"/>
    <w:rsid w:val="0056462A"/>
    <w:rsid w:val="00581D12"/>
    <w:rsid w:val="005C7A9A"/>
    <w:rsid w:val="005E74F5"/>
    <w:rsid w:val="005F7DFE"/>
    <w:rsid w:val="006169D3"/>
    <w:rsid w:val="006B083D"/>
    <w:rsid w:val="006F3D08"/>
    <w:rsid w:val="00756B3C"/>
    <w:rsid w:val="00783574"/>
    <w:rsid w:val="00784631"/>
    <w:rsid w:val="007A444D"/>
    <w:rsid w:val="007C71BE"/>
    <w:rsid w:val="007F4777"/>
    <w:rsid w:val="008063E4"/>
    <w:rsid w:val="00836614"/>
    <w:rsid w:val="008876C3"/>
    <w:rsid w:val="008C4DF6"/>
    <w:rsid w:val="008D1A9B"/>
    <w:rsid w:val="009063F8"/>
    <w:rsid w:val="00917019"/>
    <w:rsid w:val="00942031"/>
    <w:rsid w:val="00950AF1"/>
    <w:rsid w:val="00983812"/>
    <w:rsid w:val="009B4C5D"/>
    <w:rsid w:val="009F653B"/>
    <w:rsid w:val="00A505DF"/>
    <w:rsid w:val="00A8519C"/>
    <w:rsid w:val="00AB0CFA"/>
    <w:rsid w:val="00AB42D9"/>
    <w:rsid w:val="00AC4C69"/>
    <w:rsid w:val="00AD3174"/>
    <w:rsid w:val="00AD53B7"/>
    <w:rsid w:val="00AF4D5B"/>
    <w:rsid w:val="00B031AD"/>
    <w:rsid w:val="00B10B32"/>
    <w:rsid w:val="00B15B95"/>
    <w:rsid w:val="00B17C96"/>
    <w:rsid w:val="00B2377C"/>
    <w:rsid w:val="00B52125"/>
    <w:rsid w:val="00B75FA4"/>
    <w:rsid w:val="00B9792C"/>
    <w:rsid w:val="00BD46D6"/>
    <w:rsid w:val="00BE5989"/>
    <w:rsid w:val="00BF3A2B"/>
    <w:rsid w:val="00C01D5A"/>
    <w:rsid w:val="00C72A2C"/>
    <w:rsid w:val="00C93A4D"/>
    <w:rsid w:val="00CD6474"/>
    <w:rsid w:val="00CF11DB"/>
    <w:rsid w:val="00D53491"/>
    <w:rsid w:val="00D71734"/>
    <w:rsid w:val="00DD6293"/>
    <w:rsid w:val="00DF0338"/>
    <w:rsid w:val="00E3171D"/>
    <w:rsid w:val="00E5065D"/>
    <w:rsid w:val="00E53DD6"/>
    <w:rsid w:val="00E9124B"/>
    <w:rsid w:val="00EE51AB"/>
    <w:rsid w:val="00EF00B8"/>
    <w:rsid w:val="00EF4BFB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  <w:style w:type="paragraph" w:styleId="Corpotesto">
    <w:name w:val="Body Text"/>
    <w:basedOn w:val="Normale"/>
    <w:link w:val="CorpotestoCarattere"/>
    <w:rsid w:val="0016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0B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60B32"/>
    <w:pPr>
      <w:widowControl w:val="0"/>
      <w:autoSpaceDE w:val="0"/>
      <w:autoSpaceDN w:val="0"/>
      <w:adjustRightInd w:val="0"/>
      <w:spacing w:before="52" w:after="0" w:line="240" w:lineRule="auto"/>
      <w:ind w:left="110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7EC-D260-4AA8-BB79-96DC4A4F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2</cp:revision>
  <cp:lastPrinted>2019-07-11T09:54:00Z</cp:lastPrinted>
  <dcterms:created xsi:type="dcterms:W3CDTF">2020-04-06T09:04:00Z</dcterms:created>
  <dcterms:modified xsi:type="dcterms:W3CDTF">2020-04-06T09:04:00Z</dcterms:modified>
</cp:coreProperties>
</file>