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B66895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</w:t>
                            </w:r>
                            <w:r w:rsidR="008F10F7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12.2020</w:t>
                            </w:r>
                          </w:p>
                          <w:p w:rsidR="008063E4" w:rsidRPr="002B3BD3" w:rsidRDefault="008F10F7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UTLIMO DPCM 26.04.2020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B66895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</w:t>
                      </w:r>
                      <w:r w:rsidR="008F10F7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12.2020</w:t>
                      </w:r>
                    </w:p>
                    <w:p w:rsidR="008063E4" w:rsidRPr="002B3BD3" w:rsidRDefault="008F10F7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UTLIMO DPCM 26.04.2020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8F10F7" w:rsidRPr="008F10F7" w:rsidRDefault="0004787B" w:rsidP="008F10F7">
      <w:pPr>
        <w:spacing w:line="276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</w:r>
      <w:r w:rsidR="008F10F7">
        <w:rPr>
          <w:rFonts w:ascii="Courier New" w:hAnsi="Courier New" w:cs="Courier New"/>
          <w:b/>
          <w:color w:val="FF0000"/>
          <w:sz w:val="24"/>
          <w:szCs w:val="24"/>
          <w:u w:val="single"/>
        </w:rPr>
        <w:t>SI TRATTA DEL PRIMO DECRETO EMANATO PER LA “FASE 2” CHE PREVEDE UNA RIAPERTURA PROGRESSIVA DOPO IL LOCKDOWN.</w:t>
      </w:r>
    </w:p>
    <w:p w:rsidR="00342071" w:rsidRDefault="008F10F7" w:rsidP="00160B32">
      <w:pPr>
        <w:spacing w:line="360" w:lineRule="auto"/>
        <w:jc w:val="center"/>
        <w:rPr>
          <w:rFonts w:ascii="Courier New" w:hAnsi="Courier New" w:cs="Courier New"/>
          <w:b/>
          <w:color w:val="FF0000"/>
          <w:sz w:val="24"/>
          <w:szCs w:val="24"/>
          <w:u w:val="single"/>
        </w:rPr>
      </w:pPr>
      <w:r w:rsidRPr="008F10F7">
        <w:rPr>
          <w:rFonts w:ascii="Courier New" w:hAnsi="Courier New" w:cs="Courier New"/>
          <w:b/>
          <w:color w:val="FF0000"/>
          <w:sz w:val="24"/>
          <w:szCs w:val="24"/>
          <w:u w:val="single"/>
        </w:rPr>
        <w:t xml:space="preserve">APERTURA DAL 04.05.2020, MA GIA’ DAL 27.04.2020 LE AZIENDE INTERESSATE POTRANNO SVOLGERE LE ATTIVITA’ PROPEDEUTICHE ALL’APERTURA. </w:t>
      </w:r>
    </w:p>
    <w:p w:rsidR="008F10F7" w:rsidRDefault="008F10F7" w:rsidP="00160B32">
      <w:pPr>
        <w:spacing w:line="360" w:lineRule="auto"/>
        <w:jc w:val="center"/>
        <w:rPr>
          <w:rFonts w:ascii="Courier New" w:hAnsi="Courier New" w:cs="Courier New"/>
          <w:b/>
          <w:color w:val="FF0000"/>
          <w:sz w:val="24"/>
          <w:szCs w:val="24"/>
          <w:u w:val="single"/>
        </w:rPr>
      </w:pPr>
      <w:r>
        <w:rPr>
          <w:rFonts w:ascii="Courier New" w:hAnsi="Courier New" w:cs="Courier New"/>
          <w:b/>
          <w:color w:val="FF0000"/>
          <w:sz w:val="24"/>
          <w:szCs w:val="24"/>
          <w:u w:val="single"/>
        </w:rPr>
        <w:t>LE MISURE ENTRANO IN VIGORE DAL 04.05.2020 E SARANNO VALIDE FINO AL 17.05.2020.</w:t>
      </w:r>
    </w:p>
    <w:p w:rsidR="008F10F7" w:rsidRDefault="008F10F7" w:rsidP="00160B32">
      <w:pPr>
        <w:spacing w:line="360" w:lineRule="auto"/>
        <w:jc w:val="center"/>
        <w:rPr>
          <w:rFonts w:ascii="Courier New" w:hAnsi="Courier New" w:cs="Courier New"/>
          <w:b/>
          <w:color w:val="FF0000"/>
          <w:sz w:val="24"/>
          <w:szCs w:val="24"/>
          <w:u w:val="single"/>
        </w:rPr>
      </w:pPr>
    </w:p>
    <w:p w:rsidR="008F10F7" w:rsidRDefault="008F10F7" w:rsidP="008F10F7">
      <w:pPr>
        <w:spacing w:line="360" w:lineRule="auto"/>
        <w:rPr>
          <w:rFonts w:cstheme="minorHAnsi"/>
          <w:sz w:val="24"/>
          <w:szCs w:val="24"/>
        </w:rPr>
      </w:pPr>
      <w:r w:rsidRPr="00255D0A">
        <w:rPr>
          <w:rFonts w:cstheme="minorHAnsi"/>
          <w:sz w:val="24"/>
          <w:szCs w:val="24"/>
        </w:rPr>
        <w:t xml:space="preserve">Di seguito riportiamo le novità principale dell’ultimo Decreto emanato dal Consiglio dei Ministri: </w:t>
      </w:r>
    </w:p>
    <w:p w:rsidR="008F10F7" w:rsidRDefault="008F10F7" w:rsidP="008F10F7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F10F7">
        <w:rPr>
          <w:rFonts w:cstheme="minorHAnsi"/>
          <w:b/>
          <w:color w:val="ED7D31" w:themeColor="accent2"/>
          <w:sz w:val="24"/>
          <w:szCs w:val="24"/>
          <w:u w:val="single"/>
        </w:rPr>
        <w:t>ATTIVITA’ COMMERCIALI AL DETTAGLIO: QUELLE SOSPESE E QUELLE APERTE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Sono sospese le attività commerciali al dettaglio indipendentemente dal fatto che l’attività sia esercitata nell’ambito degli esercizi commerciali di vicinato o media/grande struttura, ad </w:t>
      </w:r>
      <w:r w:rsidRPr="008F10F7">
        <w:rPr>
          <w:rFonts w:cstheme="minorHAnsi"/>
          <w:b/>
          <w:color w:val="FF0000"/>
          <w:sz w:val="24"/>
          <w:szCs w:val="24"/>
        </w:rPr>
        <w:t>eccezione delle attività qui riportate:</w:t>
      </w:r>
    </w:p>
    <w:p w:rsidR="008F10F7" w:rsidRPr="008F10F7" w:rsidRDefault="008F10F7" w:rsidP="008F10F7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F10F7">
        <w:rPr>
          <w:rFonts w:cstheme="minorHAnsi"/>
          <w:b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1219199</wp:posOffset>
            </wp:positionH>
            <wp:positionV relativeFrom="paragraph">
              <wp:posOffset>-99061</wp:posOffset>
            </wp:positionV>
            <wp:extent cx="4676775" cy="4927243"/>
            <wp:effectExtent l="0" t="0" r="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38" cy="493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0F7" w:rsidRPr="008F10F7" w:rsidRDefault="008F10F7" w:rsidP="00160B32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:rsidR="00255D0A" w:rsidRDefault="00255D0A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p w:rsidR="008F10F7" w:rsidRDefault="008F10F7" w:rsidP="008F10F7">
      <w:pPr>
        <w:spacing w:line="360" w:lineRule="auto"/>
        <w:jc w:val="center"/>
        <w:rPr>
          <w:rFonts w:cstheme="minorHAnsi"/>
          <w:b/>
          <w:noProof/>
          <w:color w:val="0070C0"/>
          <w:sz w:val="24"/>
          <w:szCs w:val="24"/>
          <w:lang w:eastAsia="it-IT"/>
        </w:rPr>
      </w:pPr>
      <w:r w:rsidRPr="008F10F7">
        <w:rPr>
          <w:rFonts w:cstheme="minorHAnsi"/>
          <w:b/>
          <w:noProof/>
          <w:color w:val="0070C0"/>
          <w:sz w:val="24"/>
          <w:szCs w:val="24"/>
          <w:lang w:eastAsia="it-IT"/>
        </w:rPr>
        <w:lastRenderedPageBreak/>
        <w:drawing>
          <wp:inline distT="0" distB="0" distL="0" distR="0">
            <wp:extent cx="5210175" cy="46672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77" w:rsidRDefault="00F06777" w:rsidP="008F10F7">
      <w:pPr>
        <w:tabs>
          <w:tab w:val="left" w:pos="2235"/>
        </w:tabs>
        <w:jc w:val="center"/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:rsidR="00F06777" w:rsidRDefault="00F06777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  <w:r w:rsidRPr="008F10F7"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ATTIVITA’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t>CHE RESTANO APERTE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Restano aperte le edicole, i tabaccai, le farmacie, le parafarmacie. </w:t>
      </w:r>
      <w:r>
        <w:rPr>
          <w:rFonts w:cstheme="minorHAnsi"/>
          <w:sz w:val="24"/>
          <w:szCs w:val="24"/>
        </w:rPr>
        <w:br/>
        <w:t xml:space="preserve">Deve essere in ogni caso garantita la distanza di sicurezza di almeno un metro. </w:t>
      </w:r>
    </w:p>
    <w:p w:rsidR="00F06777" w:rsidRDefault="00F06777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t>SOSPENSIONE DEI SERVIZI DI RISTORAZIONE E RELATIVE ECCEZIONI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>Sono sospese le attività dei servizi di ristorazione (bar, pub, ristoranti, gelaterie, pasticcerie) ad esclusione delle mense e del catering continuativo su base contrattuale che garantiscono la distanza di sicurezza di almeno un metro.</w:t>
      </w: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Resta </w:t>
      </w:r>
      <w:r w:rsidRPr="008164D2">
        <w:rPr>
          <w:rFonts w:cstheme="minorHAnsi"/>
          <w:b/>
          <w:sz w:val="24"/>
          <w:szCs w:val="24"/>
        </w:rPr>
        <w:t>consentita la ristorazione</w:t>
      </w:r>
      <w:r>
        <w:rPr>
          <w:rFonts w:cstheme="minorHAnsi"/>
          <w:sz w:val="24"/>
          <w:szCs w:val="24"/>
        </w:rPr>
        <w:t xml:space="preserve"> con </w:t>
      </w:r>
      <w:r>
        <w:rPr>
          <w:rFonts w:cstheme="minorHAnsi"/>
          <w:b/>
          <w:sz w:val="24"/>
          <w:szCs w:val="24"/>
        </w:rPr>
        <w:t>consegna a domicilio</w:t>
      </w:r>
      <w:r>
        <w:rPr>
          <w:rFonts w:cstheme="minorHAnsi"/>
          <w:sz w:val="24"/>
          <w:szCs w:val="24"/>
        </w:rPr>
        <w:t xml:space="preserve"> nel rispetto delle norme igienico-sanitarie sia per l’attività di confezionamento che di trasporto;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con asporto</w:t>
      </w:r>
      <w:r>
        <w:rPr>
          <w:rFonts w:cstheme="minorHAnsi"/>
          <w:sz w:val="24"/>
          <w:szCs w:val="24"/>
        </w:rPr>
        <w:t xml:space="preserve"> fermo restando l’obbligo di rispettare la distanza di sicurezza di almeno un metro, il divieto di consumare i prodotti all’interno dei locali e il divieto di sostare nelle immediate vicinanze degli stessi. </w:t>
      </w: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t>SOSPENSIONE ATTIVITA’ INERENTI LA PERSONA E RELATIVE ECCEZIONI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Sono sospese le attività inerenti i servizi alla persona – parrucchieri, barbieri, estetisti – </w:t>
      </w:r>
      <w:r>
        <w:rPr>
          <w:rFonts w:cstheme="minorHAnsi"/>
          <w:b/>
          <w:sz w:val="24"/>
          <w:szCs w:val="24"/>
        </w:rPr>
        <w:t>diversi</w:t>
      </w:r>
      <w:r>
        <w:rPr>
          <w:rFonts w:cstheme="minorHAnsi"/>
          <w:sz w:val="24"/>
          <w:szCs w:val="24"/>
        </w:rPr>
        <w:t xml:space="preserve"> da: lavanderia e pulitura articoli tessili e pelliccia; attività delle lavanderie industriali, altre lavanderie e tintorie, servizi di pompe funebri e attività connesse. </w:t>
      </w: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</w:p>
    <w:p w:rsidR="008164D2" w:rsidRDefault="008164D2" w:rsidP="00F06777">
      <w:pPr>
        <w:tabs>
          <w:tab w:val="left" w:pos="22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lastRenderedPageBreak/>
        <w:t xml:space="preserve">MISURE PRECAUZIONALI PER LE ATTIVITA’ NON SOSPESE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>Gli esercizi commerciali per i quali l’attività non è sospesa devono assicurare la distanza interpersonale di almeno un metro; che gli ingressi avvengano in modo dilazionato; che venga impedito di sostare all’interno dei locali più del tempo necessario all’acquisto dei beni.</w:t>
      </w:r>
      <w:r>
        <w:rPr>
          <w:rFonts w:cstheme="minorHAnsi"/>
          <w:sz w:val="24"/>
          <w:szCs w:val="24"/>
        </w:rPr>
        <w:br/>
        <w:t xml:space="preserve">Si raccomanda inoltre l’applicazione delle seguenti misure: </w:t>
      </w:r>
    </w:p>
    <w:p w:rsidR="008F10F7" w:rsidRPr="00F06777" w:rsidRDefault="008164D2" w:rsidP="00F06777">
      <w:pPr>
        <w:tabs>
          <w:tab w:val="left" w:pos="2235"/>
        </w:tabs>
        <w:jc w:val="center"/>
        <w:rPr>
          <w:rFonts w:cstheme="minorHAnsi"/>
          <w:b/>
          <w:color w:val="ED7D31" w:themeColor="accent2"/>
          <w:sz w:val="24"/>
          <w:szCs w:val="24"/>
          <w:u w:val="single"/>
        </w:rPr>
      </w:pPr>
      <w:r w:rsidRPr="008164D2">
        <w:rPr>
          <w:rFonts w:cstheme="minorHAnsi"/>
          <w:b/>
          <w:noProof/>
          <w:color w:val="ED7D31" w:themeColor="accent2"/>
          <w:sz w:val="24"/>
          <w:szCs w:val="24"/>
          <w:u w:val="single"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-635</wp:posOffset>
            </wp:positionV>
            <wp:extent cx="5705475" cy="3634522"/>
            <wp:effectExtent l="0" t="0" r="0" b="444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63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4D2"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 w:rsidR="00F06777"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</w:p>
    <w:p w:rsidR="008164D2" w:rsidRDefault="008164D2" w:rsidP="008F10F7">
      <w:pPr>
        <w:tabs>
          <w:tab w:val="left" w:pos="2235"/>
        </w:tabs>
        <w:jc w:val="center"/>
        <w:rPr>
          <w:rFonts w:cstheme="minorHAnsi"/>
          <w:sz w:val="24"/>
          <w:szCs w:val="24"/>
          <w:lang w:eastAsia="it-IT"/>
        </w:rPr>
      </w:pPr>
      <w:r w:rsidRPr="008164D2">
        <w:rPr>
          <w:rFonts w:cstheme="minorHAnsi"/>
          <w:b/>
          <w:noProof/>
          <w:color w:val="ED7D31" w:themeColor="accent2"/>
          <w:sz w:val="24"/>
          <w:szCs w:val="24"/>
          <w:u w:val="single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504825</wp:posOffset>
            </wp:positionH>
            <wp:positionV relativeFrom="paragraph">
              <wp:posOffset>3049270</wp:posOffset>
            </wp:positionV>
            <wp:extent cx="5695950" cy="207772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8164D2" w:rsidRPr="008164D2" w:rsidRDefault="008164D2" w:rsidP="008164D2">
      <w:pPr>
        <w:rPr>
          <w:rFonts w:cstheme="minorHAnsi"/>
          <w:sz w:val="24"/>
          <w:szCs w:val="24"/>
          <w:lang w:eastAsia="it-IT"/>
        </w:rPr>
      </w:pPr>
    </w:p>
    <w:p w:rsidR="00F06777" w:rsidRDefault="008164D2" w:rsidP="008164D2">
      <w:pPr>
        <w:tabs>
          <w:tab w:val="left" w:pos="2505"/>
        </w:tabs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ab/>
      </w:r>
    </w:p>
    <w:p w:rsidR="003457EA" w:rsidRDefault="00ED220E" w:rsidP="008164D2">
      <w:pPr>
        <w:tabs>
          <w:tab w:val="left" w:pos="250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t>ATTIVITA’ PROFESSIONALI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>Non sono soggette a sospensione, tuttavia si raccomanda che sia attuato il massimo utilizzo da parte delle imprese</w:t>
      </w:r>
      <w:r w:rsidR="003457EA">
        <w:rPr>
          <w:rFonts w:cstheme="minorHAnsi"/>
          <w:sz w:val="24"/>
          <w:szCs w:val="24"/>
        </w:rPr>
        <w:t xml:space="preserve"> di modalità di lavoro agile per le attività che possono essere svolte al proprio domicilio o in modalità a distanza; siano incentivate le ferie e i congedi retribuiti per i dipendenti; assumano protocolli di sicurezza anti-contagio e laddove non fosse possibile, rispettare la distanza di almeno un metro come principale misura di contenimento, con adozione di strumenti di protezione individuale; siano incentivate le operazioni di sanificazione dei luoghi di lavoro. </w:t>
      </w:r>
    </w:p>
    <w:p w:rsidR="003457EA" w:rsidRDefault="003457EA" w:rsidP="008164D2">
      <w:pPr>
        <w:tabs>
          <w:tab w:val="left" w:pos="2505"/>
        </w:tabs>
        <w:jc w:val="center"/>
        <w:rPr>
          <w:rFonts w:cstheme="minorHAnsi"/>
          <w:sz w:val="24"/>
          <w:szCs w:val="24"/>
        </w:rPr>
      </w:pPr>
    </w:p>
    <w:p w:rsidR="003457EA" w:rsidRDefault="003457EA" w:rsidP="008164D2">
      <w:pPr>
        <w:tabs>
          <w:tab w:val="left" w:pos="2505"/>
        </w:tabs>
        <w:jc w:val="center"/>
        <w:rPr>
          <w:rFonts w:cstheme="minorHAnsi"/>
          <w:sz w:val="24"/>
          <w:szCs w:val="24"/>
        </w:rPr>
      </w:pPr>
    </w:p>
    <w:p w:rsidR="003457EA" w:rsidRDefault="003457EA" w:rsidP="008164D2">
      <w:pPr>
        <w:tabs>
          <w:tab w:val="left" w:pos="2505"/>
        </w:tabs>
        <w:jc w:val="center"/>
        <w:rPr>
          <w:rFonts w:cstheme="minorHAnsi"/>
          <w:sz w:val="24"/>
          <w:szCs w:val="24"/>
        </w:rPr>
      </w:pPr>
    </w:p>
    <w:p w:rsidR="003457EA" w:rsidRDefault="003457EA" w:rsidP="008164D2">
      <w:pPr>
        <w:tabs>
          <w:tab w:val="left" w:pos="250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lastRenderedPageBreak/>
        <w:t xml:space="preserve">ATTIVITA’ PRODUTTIVE E INDUSTRIALI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Sono sospese tutte le attività produttive e industriali, </w:t>
      </w:r>
      <w:r>
        <w:rPr>
          <w:rFonts w:cstheme="minorHAnsi"/>
          <w:b/>
          <w:sz w:val="24"/>
          <w:szCs w:val="24"/>
        </w:rPr>
        <w:t>ad eccezione</w:t>
      </w:r>
      <w:r>
        <w:rPr>
          <w:rFonts w:cstheme="minorHAnsi"/>
          <w:sz w:val="24"/>
          <w:szCs w:val="24"/>
        </w:rPr>
        <w:t xml:space="preserve"> di quelle riportate di seguito: </w:t>
      </w:r>
    </w:p>
    <w:p w:rsidR="00C04BCF" w:rsidRDefault="00C04BCF" w:rsidP="008164D2">
      <w:pPr>
        <w:tabs>
          <w:tab w:val="left" w:pos="2505"/>
        </w:tabs>
        <w:jc w:val="center"/>
        <w:rPr>
          <w:rFonts w:cstheme="minorHAnsi"/>
          <w:noProof/>
          <w:sz w:val="24"/>
          <w:szCs w:val="24"/>
          <w:lang w:eastAsia="it-IT"/>
        </w:rPr>
      </w:pPr>
      <w:r w:rsidRPr="00C04BCF">
        <w:rPr>
          <w:rFonts w:cstheme="minorHAnsi"/>
          <w:b/>
          <w:noProof/>
          <w:color w:val="ED7D31" w:themeColor="accent2"/>
          <w:sz w:val="24"/>
          <w:szCs w:val="24"/>
          <w:u w:val="single"/>
          <w:lang w:eastAsia="it-IT"/>
        </w:rPr>
        <w:drawing>
          <wp:inline distT="0" distB="0" distL="0" distR="0">
            <wp:extent cx="5057775" cy="8119893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843" cy="812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7EA"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 w:rsidR="00ED220E"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</w:p>
    <w:p w:rsidR="00C04BCF" w:rsidRDefault="00C04BCF" w:rsidP="008164D2">
      <w:pPr>
        <w:tabs>
          <w:tab w:val="left" w:pos="2505"/>
        </w:tabs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04BCF" w:rsidRDefault="00C04BCF" w:rsidP="008164D2">
      <w:pPr>
        <w:tabs>
          <w:tab w:val="left" w:pos="2505"/>
        </w:tabs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04BCF" w:rsidRDefault="00C04BCF" w:rsidP="008164D2">
      <w:pPr>
        <w:tabs>
          <w:tab w:val="left" w:pos="2505"/>
        </w:tabs>
        <w:jc w:val="center"/>
        <w:rPr>
          <w:rFonts w:cstheme="minorHAnsi"/>
          <w:sz w:val="24"/>
          <w:szCs w:val="24"/>
          <w:lang w:eastAsia="it-IT"/>
        </w:rPr>
      </w:pPr>
      <w:r w:rsidRPr="00C04BCF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991100" cy="9064718"/>
            <wp:effectExtent l="0" t="0" r="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993" cy="90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D2" w:rsidRDefault="008164D2" w:rsidP="00C04BCF">
      <w:pPr>
        <w:tabs>
          <w:tab w:val="left" w:pos="3800"/>
        </w:tabs>
        <w:rPr>
          <w:rFonts w:cstheme="minorHAnsi"/>
          <w:sz w:val="24"/>
          <w:szCs w:val="24"/>
          <w:lang w:eastAsia="it-IT"/>
        </w:rPr>
      </w:pPr>
    </w:p>
    <w:p w:rsidR="00C04BCF" w:rsidRDefault="00C04BCF" w:rsidP="00C04BCF">
      <w:pPr>
        <w:tabs>
          <w:tab w:val="left" w:pos="3800"/>
        </w:tabs>
        <w:rPr>
          <w:rFonts w:cstheme="minorHAnsi"/>
          <w:sz w:val="24"/>
          <w:szCs w:val="24"/>
          <w:lang w:eastAsia="it-IT"/>
        </w:rPr>
      </w:pPr>
    </w:p>
    <w:p w:rsidR="00C04BCF" w:rsidRDefault="00C04BCF" w:rsidP="00C04BCF">
      <w:pPr>
        <w:tabs>
          <w:tab w:val="left" w:pos="3800"/>
        </w:tabs>
        <w:jc w:val="center"/>
        <w:rPr>
          <w:rFonts w:cstheme="minorHAnsi"/>
          <w:sz w:val="24"/>
          <w:szCs w:val="24"/>
          <w:lang w:eastAsia="it-IT"/>
        </w:rPr>
      </w:pPr>
      <w:r w:rsidRPr="00C04BCF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851400" cy="8900179"/>
            <wp:effectExtent l="0" t="0" r="635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444" cy="89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CF" w:rsidRDefault="00C04BCF" w:rsidP="00C04BCF">
      <w:pPr>
        <w:rPr>
          <w:rFonts w:cstheme="minorHAnsi"/>
          <w:sz w:val="24"/>
          <w:szCs w:val="24"/>
          <w:lang w:eastAsia="it-IT"/>
        </w:rPr>
      </w:pPr>
    </w:p>
    <w:p w:rsidR="00C04BCF" w:rsidRDefault="00C04BCF" w:rsidP="00C04BCF">
      <w:pPr>
        <w:tabs>
          <w:tab w:val="left" w:pos="4720"/>
        </w:tabs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ab/>
      </w:r>
    </w:p>
    <w:p w:rsidR="00C04BCF" w:rsidRDefault="00C04BCF" w:rsidP="00C04BCF">
      <w:pPr>
        <w:tabs>
          <w:tab w:val="left" w:pos="4720"/>
        </w:tabs>
        <w:jc w:val="center"/>
        <w:rPr>
          <w:rFonts w:cstheme="minorHAnsi"/>
          <w:sz w:val="24"/>
          <w:szCs w:val="24"/>
          <w:lang w:eastAsia="it-IT"/>
        </w:rPr>
      </w:pPr>
      <w:r w:rsidRPr="00C04BCF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719595" cy="4445000"/>
            <wp:effectExtent l="0" t="0" r="508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54" cy="446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BCF" w:rsidRDefault="00C04BCF" w:rsidP="00C04BCF">
      <w:pPr>
        <w:rPr>
          <w:rFonts w:cstheme="minorHAnsi"/>
          <w:sz w:val="24"/>
          <w:szCs w:val="24"/>
          <w:lang w:eastAsia="it-IT"/>
        </w:rPr>
      </w:pPr>
    </w:p>
    <w:p w:rsidR="00C04BCF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 xml:space="preserve">Non compare più nel decreto il riferimento alle attività consentite, previa comunicazione al Prefetto, funzionali ad assicurare la continuità delle filiere. </w:t>
      </w:r>
    </w:p>
    <w:p w:rsidR="00E82376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</w:p>
    <w:p w:rsidR="00E82376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>Le imprese le cui attività non sono sospese rispettano i contenuti dei seguenti protocolli:</w:t>
      </w:r>
    </w:p>
    <w:p w:rsidR="00E82376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  <w:r w:rsidRPr="00E82376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5092700" cy="2444496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93" cy="245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76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</w:p>
    <w:p w:rsidR="00E82376" w:rsidRDefault="00E82376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sz w:val="24"/>
          <w:szCs w:val="24"/>
          <w:lang w:eastAsia="it-IT"/>
        </w:rPr>
        <w:t>La mancata attuazione dei protocolli che non assicuri adeguati l</w:t>
      </w:r>
      <w:r w:rsidR="00C61CB5">
        <w:rPr>
          <w:rFonts w:cstheme="minorHAnsi"/>
          <w:sz w:val="24"/>
          <w:szCs w:val="24"/>
          <w:lang w:eastAsia="it-IT"/>
        </w:rPr>
        <w:t>ivelli di protezione determina l</w:t>
      </w:r>
      <w:r>
        <w:rPr>
          <w:rFonts w:cstheme="minorHAnsi"/>
          <w:sz w:val="24"/>
          <w:szCs w:val="24"/>
          <w:lang w:eastAsia="it-IT"/>
        </w:rPr>
        <w:t xml:space="preserve">a sospensione dell’attività fino al ripristino delle condizioni di sicurezza. </w:t>
      </w:r>
    </w:p>
    <w:p w:rsid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</w:p>
    <w:p w:rsid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lastRenderedPageBreak/>
        <w:t>UTILIZZO MASCHERINE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L’art. 3 ai commi 2-3 prevede che ai fini del contenimento della diffusione del virus, limitatamente alla durata dell’emergenza sanitaria, </w:t>
      </w:r>
      <w:r>
        <w:rPr>
          <w:rFonts w:cstheme="minorHAnsi"/>
          <w:b/>
          <w:sz w:val="24"/>
          <w:szCs w:val="24"/>
        </w:rPr>
        <w:t>gli individui presenti sull’intero territorio nazionale devono usare protezioni delle vie respiratorie nei luoghi confinati aperti al pubblico</w:t>
      </w:r>
      <w:r>
        <w:rPr>
          <w:rFonts w:cstheme="minorHAnsi"/>
          <w:sz w:val="24"/>
          <w:szCs w:val="24"/>
        </w:rPr>
        <w:t xml:space="preserve">, inclusi i mezzi di traporto e comunque in tutte le occasioni in cui non sia possibile garantire cumulativamente il mantenimento del distanziamento fisico. </w:t>
      </w:r>
    </w:p>
    <w:p w:rsid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</w:rPr>
      </w:pPr>
    </w:p>
    <w:p w:rsid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t>DISPOSIZIONI FINALI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  <w:r>
        <w:rPr>
          <w:rFonts w:cstheme="minorHAnsi"/>
          <w:sz w:val="24"/>
          <w:szCs w:val="24"/>
        </w:rPr>
        <w:t xml:space="preserve">L’art. 10 prevede che le disposizioni si applichino dal 04 maggio al 17 maggio, tranne le norme che entrano in vigore dal 27 aprile. </w:t>
      </w:r>
    </w:p>
    <w:p w:rsidR="00C61CB5" w:rsidRP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Ovviamente si continuano ad applicare eventuali misure di contenimento più restrittive adottate dalle Regioni relativamente a specifiche aree del territorio regionale. </w:t>
      </w:r>
      <w:bookmarkStart w:id="0" w:name="_GoBack"/>
      <w:bookmarkEnd w:id="0"/>
    </w:p>
    <w:p w:rsidR="00C61CB5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</w:rPr>
      </w:pPr>
    </w:p>
    <w:p w:rsidR="00C61CB5" w:rsidRPr="00C04BCF" w:rsidRDefault="00C61CB5" w:rsidP="00E82376">
      <w:pPr>
        <w:tabs>
          <w:tab w:val="left" w:pos="7000"/>
        </w:tabs>
        <w:jc w:val="center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b/>
          <w:color w:val="ED7D31" w:themeColor="accent2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ED7D31" w:themeColor="accent2"/>
          <w:sz w:val="24"/>
          <w:szCs w:val="24"/>
          <w:u w:val="single"/>
        </w:rPr>
        <w:br/>
      </w:r>
    </w:p>
    <w:sectPr w:rsidR="00C61CB5" w:rsidRPr="00C04BCF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EBA"/>
    <w:multiLevelType w:val="hybridMultilevel"/>
    <w:tmpl w:val="377626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D159B"/>
    <w:multiLevelType w:val="hybridMultilevel"/>
    <w:tmpl w:val="219A87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F425C9"/>
    <w:multiLevelType w:val="hybridMultilevel"/>
    <w:tmpl w:val="AB12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40977"/>
    <w:rsid w:val="00160653"/>
    <w:rsid w:val="00160B32"/>
    <w:rsid w:val="001B59E5"/>
    <w:rsid w:val="0021383A"/>
    <w:rsid w:val="00255D0A"/>
    <w:rsid w:val="002714CD"/>
    <w:rsid w:val="00276918"/>
    <w:rsid w:val="00281AD8"/>
    <w:rsid w:val="002A71EA"/>
    <w:rsid w:val="002B3BD3"/>
    <w:rsid w:val="00342071"/>
    <w:rsid w:val="003457EA"/>
    <w:rsid w:val="00353955"/>
    <w:rsid w:val="00354CDD"/>
    <w:rsid w:val="003B6B04"/>
    <w:rsid w:val="003D3EAC"/>
    <w:rsid w:val="004036FE"/>
    <w:rsid w:val="00403B09"/>
    <w:rsid w:val="00403DE8"/>
    <w:rsid w:val="00415E75"/>
    <w:rsid w:val="00462A6A"/>
    <w:rsid w:val="004768BC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6F3D08"/>
    <w:rsid w:val="00756B3C"/>
    <w:rsid w:val="00783574"/>
    <w:rsid w:val="00784631"/>
    <w:rsid w:val="007A444D"/>
    <w:rsid w:val="007C71BE"/>
    <w:rsid w:val="007F4777"/>
    <w:rsid w:val="008063E4"/>
    <w:rsid w:val="008164D2"/>
    <w:rsid w:val="00836614"/>
    <w:rsid w:val="008876C3"/>
    <w:rsid w:val="008C4DF6"/>
    <w:rsid w:val="008D1A9B"/>
    <w:rsid w:val="008F10F7"/>
    <w:rsid w:val="009063F8"/>
    <w:rsid w:val="0091482F"/>
    <w:rsid w:val="00917019"/>
    <w:rsid w:val="00942031"/>
    <w:rsid w:val="00950AF1"/>
    <w:rsid w:val="00983812"/>
    <w:rsid w:val="009B4C5D"/>
    <w:rsid w:val="009F653B"/>
    <w:rsid w:val="00A0515E"/>
    <w:rsid w:val="00A505DF"/>
    <w:rsid w:val="00A8519C"/>
    <w:rsid w:val="00AB0CFA"/>
    <w:rsid w:val="00AB42D9"/>
    <w:rsid w:val="00AC4C69"/>
    <w:rsid w:val="00AC62F8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66895"/>
    <w:rsid w:val="00B75FA4"/>
    <w:rsid w:val="00B9792C"/>
    <w:rsid w:val="00BC7177"/>
    <w:rsid w:val="00BD46D6"/>
    <w:rsid w:val="00BE5989"/>
    <w:rsid w:val="00BF3A2B"/>
    <w:rsid w:val="00C01D5A"/>
    <w:rsid w:val="00C04BCF"/>
    <w:rsid w:val="00C24FAE"/>
    <w:rsid w:val="00C61CB5"/>
    <w:rsid w:val="00C72A2C"/>
    <w:rsid w:val="00C93A4D"/>
    <w:rsid w:val="00CD6474"/>
    <w:rsid w:val="00CF11DB"/>
    <w:rsid w:val="00D53491"/>
    <w:rsid w:val="00D71734"/>
    <w:rsid w:val="00DD6293"/>
    <w:rsid w:val="00DE34D9"/>
    <w:rsid w:val="00DF0338"/>
    <w:rsid w:val="00E3171D"/>
    <w:rsid w:val="00E41A72"/>
    <w:rsid w:val="00E5065D"/>
    <w:rsid w:val="00E53DD6"/>
    <w:rsid w:val="00E82376"/>
    <w:rsid w:val="00E9124B"/>
    <w:rsid w:val="00ED220E"/>
    <w:rsid w:val="00EE51AB"/>
    <w:rsid w:val="00EF00B8"/>
    <w:rsid w:val="00EF4BFB"/>
    <w:rsid w:val="00F06777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  <w:style w:type="paragraph" w:styleId="Corpotesto">
    <w:name w:val="Body Text"/>
    <w:basedOn w:val="Normale"/>
    <w:link w:val="CorpotestoCarattere"/>
    <w:rsid w:val="0016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0B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60B32"/>
    <w:pPr>
      <w:widowControl w:val="0"/>
      <w:autoSpaceDE w:val="0"/>
      <w:autoSpaceDN w:val="0"/>
      <w:adjustRightInd w:val="0"/>
      <w:spacing w:before="52" w:after="0" w:line="240" w:lineRule="auto"/>
      <w:ind w:left="110"/>
    </w:pPr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255D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5D0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B906-3D61-4A2C-BCD0-B5D657B8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5</cp:revision>
  <cp:lastPrinted>2019-07-11T09:54:00Z</cp:lastPrinted>
  <dcterms:created xsi:type="dcterms:W3CDTF">2020-04-29T08:47:00Z</dcterms:created>
  <dcterms:modified xsi:type="dcterms:W3CDTF">2020-04-29T09:07:00Z</dcterms:modified>
</cp:coreProperties>
</file>