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right</wp:align>
                </wp:positionH>
                <wp:positionV relativeFrom="paragraph">
                  <wp:posOffset>-107315</wp:posOffset>
                </wp:positionV>
                <wp:extent cx="1828800" cy="212407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2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B66895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</w:t>
                            </w:r>
                            <w:r w:rsidR="008F10F7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 w:rsidR="00365D32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  <w:r w:rsidR="008F10F7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1B532B" w:rsidRDefault="00365D32" w:rsidP="008F10F7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CREDITO D’IMPOSTA COMMISSIONI PAGAMENTI ELETTRONICI </w:t>
                            </w:r>
                          </w:p>
                          <w:p w:rsidR="00365D32" w:rsidRDefault="00365D32" w:rsidP="008F10F7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FATTURAZIONE ELETTRONICA, RICEZIONE FATTURA ERRATA</w:t>
                            </w:r>
                          </w:p>
                          <w:p w:rsidR="006E63CE" w:rsidRPr="002B3BD3" w:rsidRDefault="006E63CE" w:rsidP="008F10F7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2.8pt;margin-top:-8.45pt;width:2in;height:167.25pt;z-index:25166540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" filled="f" stroked="f">
                <v:textbox>
                  <w:txbxContent>
                    <w:p w:rsidR="003D3EAC" w:rsidRPr="002B3BD3" w:rsidRDefault="00B66895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</w:t>
                      </w:r>
                      <w:r w:rsidR="008F10F7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 w:rsidR="00365D32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  <w:r w:rsidR="008F10F7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1B532B" w:rsidRDefault="00365D32" w:rsidP="008F10F7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CREDITO D’IMPOSTA COMMISSIONI PAGAMENTI ELETTRONICI </w:t>
                      </w:r>
                    </w:p>
                    <w:p w:rsidR="00365D32" w:rsidRDefault="00365D32" w:rsidP="008F10F7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FATTURAZIONE ELETTRONICA, RICEZIONE FATTURA ERRATA</w:t>
                      </w:r>
                    </w:p>
                    <w:p w:rsidR="006E63CE" w:rsidRPr="002B3BD3" w:rsidRDefault="006E63CE" w:rsidP="008F10F7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5A2C26" w:rsidRDefault="005A2C26" w:rsidP="005A2C26">
      <w:pPr>
        <w:spacing w:line="276" w:lineRule="auto"/>
        <w:jc w:val="center"/>
        <w:rPr>
          <w:rFonts w:cstheme="minorHAnsi"/>
          <w:sz w:val="24"/>
          <w:szCs w:val="24"/>
          <w:lang w:eastAsia="it-IT"/>
        </w:rPr>
      </w:pPr>
    </w:p>
    <w:p w:rsidR="005A2C26" w:rsidRDefault="005A2C26" w:rsidP="005A2C26">
      <w:pPr>
        <w:spacing w:line="276" w:lineRule="auto"/>
        <w:rPr>
          <w:rFonts w:cstheme="minorHAnsi"/>
          <w:color w:val="FF0000"/>
          <w:sz w:val="24"/>
          <w:szCs w:val="24"/>
          <w:lang w:eastAsia="it-IT"/>
        </w:rPr>
      </w:pPr>
    </w:p>
    <w:p w:rsidR="006E63CE" w:rsidRDefault="006E63CE" w:rsidP="006E63CE">
      <w:pPr>
        <w:spacing w:line="360" w:lineRule="auto"/>
        <w:jc w:val="both"/>
        <w:rPr>
          <w:rFonts w:cstheme="minorHAnsi"/>
          <w:lang w:eastAsia="it-IT"/>
        </w:rPr>
      </w:pPr>
    </w:p>
    <w:p w:rsidR="00365D32" w:rsidRDefault="00365D32" w:rsidP="003B504C">
      <w:pPr>
        <w:spacing w:line="360" w:lineRule="auto"/>
        <w:jc w:val="center"/>
        <w:rPr>
          <w:rFonts w:cstheme="minorHAnsi"/>
          <w:b/>
          <w:color w:val="ED7D31" w:themeColor="accent2"/>
          <w:sz w:val="24"/>
          <w:szCs w:val="24"/>
          <w:u w:val="single"/>
          <w:lang w:eastAsia="it-IT"/>
        </w:rPr>
      </w:pPr>
    </w:p>
    <w:p w:rsidR="00365D32" w:rsidRPr="00991E03" w:rsidRDefault="00365D32" w:rsidP="00365D32">
      <w:pPr>
        <w:spacing w:line="360" w:lineRule="auto"/>
        <w:jc w:val="center"/>
        <w:rPr>
          <w:rFonts w:cstheme="minorHAnsi"/>
          <w:color w:val="FF0066"/>
          <w:lang w:eastAsia="it-IT"/>
        </w:rPr>
      </w:pPr>
      <w:r w:rsidRPr="00991E03">
        <w:rPr>
          <w:rFonts w:cstheme="minorHAnsi"/>
          <w:b/>
          <w:color w:val="FF0066"/>
          <w:u w:val="single"/>
          <w:lang w:eastAsia="it-IT"/>
        </w:rPr>
        <w:t>CREDITO IMPOSTA COMMISSIONI PAGAMENTI ELETTRONICI</w:t>
      </w:r>
    </w:p>
    <w:p w:rsidR="003B504C" w:rsidRPr="00991E03" w:rsidRDefault="00365D32" w:rsidP="00365D32">
      <w:pPr>
        <w:spacing w:line="360" w:lineRule="auto"/>
        <w:jc w:val="center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Al fine di incentivare l’utilizzo degli strumenti elettronici di pagamento, è stato previsto </w:t>
      </w:r>
      <w:r w:rsidRPr="00991E03">
        <w:rPr>
          <w:rFonts w:cstheme="minorHAnsi"/>
          <w:u w:val="single"/>
          <w:lang w:eastAsia="it-IT"/>
        </w:rPr>
        <w:t>a partire dal 01/07/2020</w:t>
      </w:r>
      <w:r w:rsidRPr="00991E03">
        <w:rPr>
          <w:rFonts w:cstheme="minorHAnsi"/>
          <w:lang w:eastAsia="it-IT"/>
        </w:rPr>
        <w:t xml:space="preserve">, il riconoscimento di un credito d’imposta a favore degli esercenti attività d’impresa / lavoratori autonomi, parametrato alle commissioni addebitate per le transazioni effettuate con mezzi di pagamento tracciabili. </w:t>
      </w:r>
    </w:p>
    <w:p w:rsidR="00365D32" w:rsidRPr="00991E03" w:rsidRDefault="00365D32" w:rsidP="00365D32">
      <w:p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>SOGGETTI BENEFICIARI</w:t>
      </w:r>
      <w:r w:rsidRPr="00991E03">
        <w:rPr>
          <w:rFonts w:cstheme="minorHAnsi"/>
          <w:lang w:eastAsia="it-IT"/>
        </w:rPr>
        <w:t>: esercenti attività di impresa/lavoro autonomo con ricavi e compensi relativi all’anno precedente non superiori a Euro 400.000;</w:t>
      </w:r>
    </w:p>
    <w:p w:rsidR="00365D32" w:rsidRPr="00991E03" w:rsidRDefault="00365D32" w:rsidP="00365D32">
      <w:p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>CREDITO D’IMPOSTA SPETTANTE</w:t>
      </w:r>
      <w:r w:rsidRPr="00991E03">
        <w:rPr>
          <w:rFonts w:cstheme="minorHAnsi"/>
          <w:lang w:eastAsia="it-IT"/>
        </w:rPr>
        <w:t>: è pari al 30% delle commissioni addebitate per le operazioni rese nei confronti di consumatori finali effettuate tramite carte di credito/debito/prepagate/altri strumenti di pagamento elettronici tracciabili;</w:t>
      </w:r>
    </w:p>
    <w:p w:rsidR="00365D32" w:rsidRPr="00991E03" w:rsidRDefault="00365D32" w:rsidP="00365D32">
      <w:p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>MODALITA’ DI UTILIZZO DEL CREDITO</w:t>
      </w:r>
      <w:r w:rsidRPr="00991E03">
        <w:rPr>
          <w:rFonts w:cstheme="minorHAnsi"/>
          <w:lang w:eastAsia="it-IT"/>
        </w:rPr>
        <w:t>: è utilizzabile esclusivamente in compensazione nel mod. F24 e va indicato nella dichiarazione dei redditi; non è tassato ai fini IRPE/IRES/IRAP.</w:t>
      </w:r>
    </w:p>
    <w:p w:rsidR="00365D32" w:rsidRPr="00991E03" w:rsidRDefault="00365D32" w:rsidP="00365D32">
      <w:p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>ELENCO ALL’ESERCENTE DELLE TRANSAZIONI EFFETTUATE</w:t>
      </w:r>
      <w:r w:rsidRPr="00991E03">
        <w:rPr>
          <w:rFonts w:cstheme="minorHAnsi"/>
          <w:lang w:eastAsia="it-IT"/>
        </w:rPr>
        <w:t>: la banca deve trasmettere all’esercente, mensilmente e in via telematica, l’elenco/informazioni relativi alle transazioni effettuate nel periodo, ossia: elenco delle operazioni di pagamento effettuate nel periodo; numero / valore totale delle operazioni di pagamento effettuate; numero / valore totale delle operazioni di pagamento effettuate da consumatori finali; prospetto descrittivo delle commissioni addebitate all’esercente nel periodo di riferimento, riportante l’ammontare relativo a:</w:t>
      </w:r>
    </w:p>
    <w:p w:rsidR="00365D32" w:rsidRPr="00991E03" w:rsidRDefault="00365D32" w:rsidP="00365D32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>Commissioni totali;</w:t>
      </w:r>
    </w:p>
    <w:p w:rsidR="00365D32" w:rsidRPr="00991E03" w:rsidRDefault="00365D32" w:rsidP="00365D32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>Commissioni addebitate sul transatto;</w:t>
      </w:r>
    </w:p>
    <w:p w:rsidR="00365D32" w:rsidRPr="00991E03" w:rsidRDefault="00365D32" w:rsidP="00365D32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>Costi fissi periodici.</w:t>
      </w:r>
    </w:p>
    <w:p w:rsidR="00365D32" w:rsidRPr="00991E03" w:rsidRDefault="00365D32" w:rsidP="00365D32">
      <w:p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La trasmissione è effettuata telematicamente ed </w:t>
      </w:r>
      <w:r w:rsidRPr="00991E03">
        <w:rPr>
          <w:rFonts w:cstheme="minorHAnsi"/>
          <w:u w:val="single"/>
          <w:lang w:eastAsia="it-IT"/>
        </w:rPr>
        <w:t>entro il ventesimo giorno del mese successivo al periodo di riferimento.</w:t>
      </w:r>
      <w:r w:rsidRPr="00991E03">
        <w:rPr>
          <w:rFonts w:cstheme="minorHAnsi"/>
          <w:lang w:eastAsia="it-IT"/>
        </w:rPr>
        <w:t xml:space="preserve"> Pertanto, la prima comunicazione relativa al mese di luglio, è trasmessa entro il 20/08/2020.</w:t>
      </w:r>
    </w:p>
    <w:p w:rsidR="00365D32" w:rsidRPr="00991E03" w:rsidRDefault="00365D32" w:rsidP="00365D32">
      <w:p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>CONSERVAZIONE DELLA DOCUMENTAZIONE DA PARTE DELL’ESERCENTE</w:t>
      </w:r>
      <w:r w:rsidRPr="00991E03">
        <w:rPr>
          <w:rFonts w:cstheme="minorHAnsi"/>
          <w:lang w:eastAsia="it-IT"/>
        </w:rPr>
        <w:t xml:space="preserve">: </w:t>
      </w:r>
      <w:r w:rsidR="00E467B9" w:rsidRPr="00991E03">
        <w:rPr>
          <w:rFonts w:cstheme="minorHAnsi"/>
          <w:lang w:eastAsia="it-IT"/>
        </w:rPr>
        <w:t xml:space="preserve">è necessario conservare la documentazione per un periodo pari a 10 anni dall’anno in cui il credito d’imposta è stato utilizzato. </w:t>
      </w:r>
    </w:p>
    <w:p w:rsidR="00365D32" w:rsidRDefault="00365D32" w:rsidP="00365D32">
      <w:pPr>
        <w:spacing w:line="360" w:lineRule="auto"/>
        <w:jc w:val="both"/>
        <w:rPr>
          <w:rFonts w:cstheme="minorHAnsi"/>
          <w:lang w:eastAsia="it-IT"/>
        </w:rPr>
      </w:pPr>
    </w:p>
    <w:p w:rsidR="00991E03" w:rsidRPr="00991E03" w:rsidRDefault="00991E03" w:rsidP="00365D32">
      <w:pPr>
        <w:spacing w:line="360" w:lineRule="auto"/>
        <w:jc w:val="both"/>
        <w:rPr>
          <w:rFonts w:cstheme="minorHAnsi"/>
          <w:lang w:eastAsia="it-IT"/>
        </w:rPr>
      </w:pPr>
      <w:bookmarkStart w:id="0" w:name="_GoBack"/>
      <w:bookmarkEnd w:id="0"/>
    </w:p>
    <w:p w:rsidR="003B504C" w:rsidRPr="00991E03" w:rsidRDefault="00E467B9" w:rsidP="00E467B9">
      <w:pPr>
        <w:spacing w:line="360" w:lineRule="auto"/>
        <w:jc w:val="center"/>
        <w:rPr>
          <w:rFonts w:cstheme="minorHAnsi"/>
          <w:color w:val="FF3399"/>
          <w:lang w:eastAsia="it-IT"/>
        </w:rPr>
      </w:pPr>
      <w:r w:rsidRPr="00991E03">
        <w:rPr>
          <w:rFonts w:cstheme="minorHAnsi"/>
          <w:b/>
          <w:color w:val="FF3399"/>
          <w:u w:val="single"/>
          <w:lang w:eastAsia="it-IT"/>
        </w:rPr>
        <w:lastRenderedPageBreak/>
        <w:t xml:space="preserve">RICEZIONE DI FATTURA ELETTRONICA ERRATA – GLI ADEMPIMENTI </w:t>
      </w:r>
    </w:p>
    <w:p w:rsidR="00E467B9" w:rsidRPr="00991E03" w:rsidRDefault="00E467B9" w:rsidP="00E467B9">
      <w:pPr>
        <w:spacing w:line="360" w:lineRule="auto"/>
        <w:jc w:val="center"/>
        <w:rPr>
          <w:rFonts w:cstheme="minorHAnsi"/>
          <w:color w:val="FF3399"/>
          <w:lang w:eastAsia="it-IT"/>
        </w:rPr>
      </w:pPr>
    </w:p>
    <w:p w:rsidR="00E467B9" w:rsidRPr="00991E03" w:rsidRDefault="00E467B9" w:rsidP="00E467B9">
      <w:pPr>
        <w:pStyle w:val="Paragrafoelenco"/>
        <w:numPr>
          <w:ilvl w:val="0"/>
          <w:numId w:val="14"/>
        </w:numPr>
        <w:spacing w:line="360" w:lineRule="auto"/>
        <w:rPr>
          <w:rFonts w:cstheme="minorHAnsi"/>
          <w:u w:val="single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 xml:space="preserve">RICEZIONE DI FATTURE ELETTRONICHE IRREGOLARI </w:t>
      </w:r>
    </w:p>
    <w:p w:rsidR="00E467B9" w:rsidRPr="00991E03" w:rsidRDefault="00E467B9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Una fattura risulta </w:t>
      </w:r>
      <w:r w:rsidRPr="00991E03">
        <w:rPr>
          <w:rFonts w:cstheme="minorHAnsi"/>
          <w:u w:val="single"/>
          <w:lang w:eastAsia="it-IT"/>
        </w:rPr>
        <w:t>errata</w:t>
      </w:r>
      <w:r w:rsidRPr="00991E03">
        <w:rPr>
          <w:rFonts w:cstheme="minorHAnsi"/>
          <w:lang w:eastAsia="it-IT"/>
        </w:rPr>
        <w:t xml:space="preserve"> o </w:t>
      </w:r>
      <w:r w:rsidRPr="00991E03">
        <w:rPr>
          <w:rFonts w:cstheme="minorHAnsi"/>
          <w:u w:val="single"/>
          <w:lang w:eastAsia="it-IT"/>
        </w:rPr>
        <w:t>irregolare</w:t>
      </w:r>
      <w:r w:rsidRPr="00991E03">
        <w:rPr>
          <w:rFonts w:cstheme="minorHAnsi"/>
          <w:lang w:eastAsia="it-IT"/>
        </w:rPr>
        <w:t xml:space="preserve"> quando non sono corretti tutti i dati obbligatori presenti nel tracciato xml, quali: regime IVA, aliquota IVA, numero di partita IVA del cedente o del prestatore, data di emissione, ecc. </w:t>
      </w:r>
    </w:p>
    <w:p w:rsidR="00E467B9" w:rsidRPr="00991E03" w:rsidRDefault="00E467B9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OBBLIGO DI COMUNICAZIONE DELL’ERRORE: secondo l’Agenzia, in applicazione del principio di correttezza e buona fede, sussiste un </w:t>
      </w:r>
      <w:r w:rsidRPr="00991E03">
        <w:rPr>
          <w:rFonts w:cstheme="minorHAnsi"/>
          <w:u w:val="single"/>
          <w:lang w:eastAsia="it-IT"/>
        </w:rPr>
        <w:t>obbligo da parte del cliente</w:t>
      </w:r>
      <w:r w:rsidRPr="00991E03">
        <w:rPr>
          <w:rFonts w:cstheme="minorHAnsi"/>
          <w:lang w:eastAsia="it-IT"/>
        </w:rPr>
        <w:t xml:space="preserve"> di attivarsi per rimuovere l’irregolarità, in particolare:</w:t>
      </w:r>
    </w:p>
    <w:p w:rsidR="00E467B9" w:rsidRPr="00991E03" w:rsidRDefault="00E467B9" w:rsidP="00E467B9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Il committente/cessionario deve preventivamente comunicare alla controparte l’errore, affinchè quest’ultima proceda alla sua correzione mediante l’emissione di una nota di credito a storno della fattura errata e successivamente di una nuova fattura corretta. </w:t>
      </w:r>
    </w:p>
    <w:p w:rsidR="00E467B9" w:rsidRPr="00991E03" w:rsidRDefault="00E467B9" w:rsidP="00E467B9">
      <w:pPr>
        <w:pStyle w:val="Paragrafoelenco"/>
        <w:spacing w:line="360" w:lineRule="auto"/>
        <w:ind w:left="1440"/>
        <w:jc w:val="both"/>
        <w:rPr>
          <w:rFonts w:cstheme="minorHAnsi"/>
          <w:lang w:eastAsia="it-IT"/>
        </w:rPr>
      </w:pPr>
    </w:p>
    <w:p w:rsidR="00E467B9" w:rsidRPr="00991E03" w:rsidRDefault="00E467B9" w:rsidP="00E467B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 xml:space="preserve">OPERAZIONE INESISTENTE </w:t>
      </w:r>
    </w:p>
    <w:p w:rsidR="00E467B9" w:rsidRPr="00991E03" w:rsidRDefault="00E467B9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Se il cessionario/committente riceve fattura che si riferisce ad operazioni “inesistenti” dal punto di vista oggettivo, cioè l’operazione riportata non è mai stata realizzata o dal punto di vista soggettivo, cioè che l’operazione è stata posta da un soggetto diverso rispetto a quello che compare in fattura, deve segnalare l’anomalia all’emittente per ottenere l’eliminazione integrale del documento, tramite l’emissione di nota di credito. </w:t>
      </w:r>
    </w:p>
    <w:p w:rsidR="00E467B9" w:rsidRPr="00991E03" w:rsidRDefault="00E467B9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La fattura </w:t>
      </w:r>
      <w:r w:rsidRPr="00991E03">
        <w:rPr>
          <w:rFonts w:cstheme="minorHAnsi"/>
          <w:b/>
          <w:lang w:eastAsia="it-IT"/>
        </w:rPr>
        <w:t>non deve essere registrata</w:t>
      </w:r>
      <w:r w:rsidRPr="00991E03">
        <w:rPr>
          <w:rFonts w:cstheme="minorHAnsi"/>
          <w:lang w:eastAsia="it-IT"/>
        </w:rPr>
        <w:t xml:space="preserve"> anche se è stata ricevuta attraverso lo Sdi- </w:t>
      </w:r>
    </w:p>
    <w:p w:rsidR="00E467B9" w:rsidRPr="00991E03" w:rsidRDefault="00E467B9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</w:p>
    <w:p w:rsidR="00E467B9" w:rsidRPr="00991E03" w:rsidRDefault="00E467B9" w:rsidP="00E467B9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 xml:space="preserve">ADDEBITO IMPOSTA INFERIORE A QUELLA DOVUTA </w:t>
      </w:r>
    </w:p>
    <w:p w:rsidR="00E467B9" w:rsidRPr="00991E03" w:rsidRDefault="00E467B9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L’addebito di imposta inferiore a quella dovuta si verifica in casi di fattura per operazione esclusa, non imponibile o esente che avrebbe dovuto essere assoggettata ad IVA; fattura con aliquota inferiore a quella effettiva. </w:t>
      </w:r>
    </w:p>
    <w:p w:rsidR="00E467B9" w:rsidRPr="00991E03" w:rsidRDefault="00E467B9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In tali fattispecie di errata applicazione del regime impositivo, il cessionario/committente che riceve la fattura irregolare deve registrare contabilmente la fattura e segnalare l’errore al cedente/prestatore affinchè rettifichi l’operazione. </w:t>
      </w:r>
    </w:p>
    <w:p w:rsidR="0020760A" w:rsidRPr="00991E03" w:rsidRDefault="0020760A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Se dopo la segnalazione dell’errore l’emittente non dovesse provvedere alla correzione, il cessionario </w:t>
      </w:r>
      <w:r w:rsidRPr="00991E03">
        <w:rPr>
          <w:rFonts w:cstheme="minorHAnsi"/>
          <w:b/>
          <w:lang w:eastAsia="it-IT"/>
        </w:rPr>
        <w:t>entro 30 giorni dalla registrazione</w:t>
      </w:r>
      <w:r w:rsidRPr="00991E03">
        <w:rPr>
          <w:rFonts w:cstheme="minorHAnsi"/>
          <w:lang w:eastAsia="it-IT"/>
        </w:rPr>
        <w:t xml:space="preserve"> è tenuto ad emettere un documento integrativo, versando la maggiore imposta eventualmente dovuta. </w:t>
      </w:r>
    </w:p>
    <w:p w:rsidR="0020760A" w:rsidRPr="00991E03" w:rsidRDefault="0020760A" w:rsidP="00E467B9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u w:val="single"/>
          <w:lang w:eastAsia="it-IT"/>
        </w:rPr>
        <w:t>EMISSIONE DELLA C.D. “AUTOFATTURA DI DENUNCIA”:</w:t>
      </w:r>
      <w:r w:rsidRPr="00991E03">
        <w:rPr>
          <w:rFonts w:cstheme="minorHAnsi"/>
          <w:lang w:eastAsia="it-IT"/>
        </w:rPr>
        <w:t xml:space="preserve"> la regolarizzazione di una fattura va effettuata trasmettendo un’autofattura allo SdI, indicando:</w:t>
      </w:r>
    </w:p>
    <w:p w:rsidR="0020760A" w:rsidRPr="00991E03" w:rsidRDefault="0020760A" w:rsidP="0020760A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Nel campo “tipo documento” </w:t>
      </w:r>
      <w:r w:rsidRPr="00991E03">
        <w:rPr>
          <w:rFonts w:cstheme="minorHAnsi"/>
          <w:b/>
          <w:lang w:eastAsia="it-IT"/>
        </w:rPr>
        <w:t>TD02 – autofattura</w:t>
      </w:r>
      <w:r w:rsidRPr="00991E03">
        <w:rPr>
          <w:rFonts w:cstheme="minorHAnsi"/>
          <w:lang w:eastAsia="it-IT"/>
        </w:rPr>
        <w:t>;</w:t>
      </w:r>
    </w:p>
    <w:p w:rsidR="0020760A" w:rsidRPr="00991E03" w:rsidRDefault="0020760A" w:rsidP="0020760A">
      <w:pPr>
        <w:pStyle w:val="Paragrafoelenco"/>
        <w:numPr>
          <w:ilvl w:val="0"/>
          <w:numId w:val="15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Sezioni anagrafiche del cedente con i dati del fornitore e sezione anagrafiche del committente con i propri dati. </w:t>
      </w:r>
    </w:p>
    <w:p w:rsidR="0020760A" w:rsidRPr="00991E03" w:rsidRDefault="0020760A" w:rsidP="0020760A">
      <w:pPr>
        <w:spacing w:line="360" w:lineRule="auto"/>
        <w:ind w:left="708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La trasmissione dell’autofattura allo SdI sostituisce l’obbligo di presentazione dell’autofattura in formato cartaceo all’Ag. delle Entrate. </w:t>
      </w:r>
    </w:p>
    <w:p w:rsidR="0020760A" w:rsidRPr="00991E03" w:rsidRDefault="0020760A" w:rsidP="0020760A">
      <w:pPr>
        <w:spacing w:line="360" w:lineRule="auto"/>
        <w:ind w:left="708"/>
        <w:jc w:val="both"/>
        <w:rPr>
          <w:rFonts w:cstheme="minorHAnsi"/>
          <w:lang w:eastAsia="it-IT"/>
        </w:rPr>
      </w:pPr>
      <w:r w:rsidRPr="00991E03">
        <w:rPr>
          <w:rFonts w:cstheme="minorHAnsi"/>
          <w:u w:val="single"/>
          <w:lang w:eastAsia="it-IT"/>
        </w:rPr>
        <w:lastRenderedPageBreak/>
        <w:t>REVERSE CHARGE</w:t>
      </w:r>
      <w:r w:rsidRPr="00991E03">
        <w:rPr>
          <w:rFonts w:cstheme="minorHAnsi"/>
          <w:lang w:eastAsia="it-IT"/>
        </w:rPr>
        <w:t xml:space="preserve">: nelle ipotesi di errata applicazione del regime del “reverse charge” ove l’IVA sia stata assolta dal fornitore (applicazione errata dell’IVA in luogo del reverse) o dal cliente (applicazione errata del reverse in luogo dell’IVA), non è necessario procedere alla regolarizzazione delle fatture errate. Al contrario, è opportuno procedere al ravvedimento della sanzione applicabile (Euro 250). </w:t>
      </w:r>
    </w:p>
    <w:p w:rsidR="0020760A" w:rsidRPr="00991E03" w:rsidRDefault="0020760A" w:rsidP="0020760A">
      <w:pPr>
        <w:pStyle w:val="Paragrafoelenco"/>
        <w:numPr>
          <w:ilvl w:val="0"/>
          <w:numId w:val="14"/>
        </w:numPr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b/>
          <w:color w:val="ED7D31" w:themeColor="accent2"/>
          <w:u w:val="single"/>
          <w:lang w:eastAsia="it-IT"/>
        </w:rPr>
        <w:t xml:space="preserve">ADDEBITO D’IMPOSTA SUPERIORE A QUELLA DOVUTA </w:t>
      </w:r>
    </w:p>
    <w:p w:rsidR="0020760A" w:rsidRPr="00991E03" w:rsidRDefault="00991E03" w:rsidP="0020760A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Se il cessionario/committente riceve una fattura con IVA applicata in misura superiore a quella dovuta (e. 22% in luogo del 10%) o riferita ad una operazione con IVA non dovuta, deve chiedere al fornitore l’emissione di una nota di credito e la successiva emissione di una nuova fattura corretta, oppure l’emissione di una nota di variazione in diminuzione per sola IVA. </w:t>
      </w:r>
    </w:p>
    <w:p w:rsidR="00991E03" w:rsidRPr="00991E03" w:rsidRDefault="00991E03" w:rsidP="0020760A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Inerzia del fornitore: se il cedente/prestatore non aderisce alla richiesta, il cessionario/committente è legittimato a regolarizzare la ricevuta mediante emissione di una nota di debito per l’IVA o la parte di IVA non dovuta in modo che il debito verso il fornitore venga azzerato. </w:t>
      </w:r>
    </w:p>
    <w:p w:rsidR="00991E03" w:rsidRPr="00991E03" w:rsidRDefault="00991E03" w:rsidP="0020760A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lang w:eastAsia="it-IT"/>
        </w:rPr>
        <w:t xml:space="preserve">In ogni caso, il cedente/prestatore, deve astenersi nel portare in detrazione l’IVA erroneamente applicata. </w:t>
      </w:r>
    </w:p>
    <w:p w:rsidR="00991E03" w:rsidRPr="00991E03" w:rsidRDefault="00991E03" w:rsidP="0020760A">
      <w:pPr>
        <w:pStyle w:val="Paragrafoelenco"/>
        <w:spacing w:line="360" w:lineRule="auto"/>
        <w:jc w:val="both"/>
        <w:rPr>
          <w:rFonts w:cstheme="minorHAnsi"/>
          <w:lang w:eastAsia="it-IT"/>
        </w:rPr>
      </w:pPr>
    </w:p>
    <w:p w:rsidR="00991E03" w:rsidRPr="00991E03" w:rsidRDefault="00991E03" w:rsidP="0020760A">
      <w:pPr>
        <w:pStyle w:val="Paragrafoelenco"/>
        <w:spacing w:line="360" w:lineRule="auto"/>
        <w:jc w:val="both"/>
        <w:rPr>
          <w:rFonts w:cstheme="minorHAnsi"/>
          <w:lang w:eastAsia="it-IT"/>
        </w:rPr>
      </w:pPr>
      <w:r w:rsidRPr="00991E03">
        <w:rPr>
          <w:rFonts w:cstheme="minorHAnsi"/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6455410" cy="2790825"/>
            <wp:effectExtent l="0" t="0" r="254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1E03" w:rsidRPr="00991E03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D53"/>
    <w:multiLevelType w:val="hybridMultilevel"/>
    <w:tmpl w:val="77F4371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71EBA"/>
    <w:multiLevelType w:val="hybridMultilevel"/>
    <w:tmpl w:val="377626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039E1"/>
    <w:multiLevelType w:val="hybridMultilevel"/>
    <w:tmpl w:val="4F387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23D"/>
    <w:multiLevelType w:val="hybridMultilevel"/>
    <w:tmpl w:val="E870C3EA"/>
    <w:lvl w:ilvl="0" w:tplc="D0B688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112F07"/>
    <w:multiLevelType w:val="hybridMultilevel"/>
    <w:tmpl w:val="5C84CE8C"/>
    <w:lvl w:ilvl="0" w:tplc="5AFE1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5D1B"/>
    <w:multiLevelType w:val="hybridMultilevel"/>
    <w:tmpl w:val="5718BA8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286407"/>
    <w:multiLevelType w:val="hybridMultilevel"/>
    <w:tmpl w:val="64906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56D5"/>
    <w:multiLevelType w:val="hybridMultilevel"/>
    <w:tmpl w:val="160C4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D159B"/>
    <w:multiLevelType w:val="hybridMultilevel"/>
    <w:tmpl w:val="219A87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CA2C19"/>
    <w:multiLevelType w:val="hybridMultilevel"/>
    <w:tmpl w:val="E77E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42DB"/>
    <w:multiLevelType w:val="hybridMultilevel"/>
    <w:tmpl w:val="269A63C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F425C9"/>
    <w:multiLevelType w:val="hybridMultilevel"/>
    <w:tmpl w:val="AB12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8637F"/>
    <w:multiLevelType w:val="hybridMultilevel"/>
    <w:tmpl w:val="21FAD5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D502F"/>
    <w:multiLevelType w:val="hybridMultilevel"/>
    <w:tmpl w:val="DB165ABC"/>
    <w:lvl w:ilvl="0" w:tplc="5AFE1EF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C96F2E"/>
    <w:multiLevelType w:val="hybridMultilevel"/>
    <w:tmpl w:val="38628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7"/>
  </w:num>
  <w:num w:numId="1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01A8C"/>
    <w:rsid w:val="0000665E"/>
    <w:rsid w:val="0004787B"/>
    <w:rsid w:val="00093701"/>
    <w:rsid w:val="000C1987"/>
    <w:rsid w:val="000D7B07"/>
    <w:rsid w:val="00105395"/>
    <w:rsid w:val="001279F0"/>
    <w:rsid w:val="00140977"/>
    <w:rsid w:val="00160653"/>
    <w:rsid w:val="00160B32"/>
    <w:rsid w:val="001B532B"/>
    <w:rsid w:val="001B59E5"/>
    <w:rsid w:val="0020760A"/>
    <w:rsid w:val="0021383A"/>
    <w:rsid w:val="002258C7"/>
    <w:rsid w:val="00255D0A"/>
    <w:rsid w:val="002714CD"/>
    <w:rsid w:val="00276918"/>
    <w:rsid w:val="00281AD8"/>
    <w:rsid w:val="002A71EA"/>
    <w:rsid w:val="002B3BD3"/>
    <w:rsid w:val="00342071"/>
    <w:rsid w:val="003457EA"/>
    <w:rsid w:val="00353955"/>
    <w:rsid w:val="00354CDD"/>
    <w:rsid w:val="00365D32"/>
    <w:rsid w:val="003B504C"/>
    <w:rsid w:val="003B6B04"/>
    <w:rsid w:val="003D3EAC"/>
    <w:rsid w:val="004036FE"/>
    <w:rsid w:val="00403B09"/>
    <w:rsid w:val="00403DE8"/>
    <w:rsid w:val="00415E75"/>
    <w:rsid w:val="00462A6A"/>
    <w:rsid w:val="004768BC"/>
    <w:rsid w:val="004A1CC9"/>
    <w:rsid w:val="004A7626"/>
    <w:rsid w:val="004B0ECD"/>
    <w:rsid w:val="004F11E0"/>
    <w:rsid w:val="004F6BCA"/>
    <w:rsid w:val="00500870"/>
    <w:rsid w:val="00512FE8"/>
    <w:rsid w:val="0056462A"/>
    <w:rsid w:val="00581D12"/>
    <w:rsid w:val="005A2C26"/>
    <w:rsid w:val="005C7A9A"/>
    <w:rsid w:val="005E74F5"/>
    <w:rsid w:val="005F7DFE"/>
    <w:rsid w:val="006169D3"/>
    <w:rsid w:val="006B083D"/>
    <w:rsid w:val="006E63CE"/>
    <w:rsid w:val="006F3D08"/>
    <w:rsid w:val="00756B3C"/>
    <w:rsid w:val="00783574"/>
    <w:rsid w:val="00784631"/>
    <w:rsid w:val="007A444D"/>
    <w:rsid w:val="007C71BE"/>
    <w:rsid w:val="007F4777"/>
    <w:rsid w:val="008063E4"/>
    <w:rsid w:val="008164D2"/>
    <w:rsid w:val="00836614"/>
    <w:rsid w:val="008418CF"/>
    <w:rsid w:val="008876C3"/>
    <w:rsid w:val="008A1A1D"/>
    <w:rsid w:val="008B0180"/>
    <w:rsid w:val="008C4DF6"/>
    <w:rsid w:val="008D1A9B"/>
    <w:rsid w:val="008F10F7"/>
    <w:rsid w:val="009063F8"/>
    <w:rsid w:val="0091482F"/>
    <w:rsid w:val="00917019"/>
    <w:rsid w:val="00942031"/>
    <w:rsid w:val="00950AF1"/>
    <w:rsid w:val="00983812"/>
    <w:rsid w:val="00991E03"/>
    <w:rsid w:val="009B4C5D"/>
    <w:rsid w:val="009E2D66"/>
    <w:rsid w:val="009F653B"/>
    <w:rsid w:val="00A0515E"/>
    <w:rsid w:val="00A505DF"/>
    <w:rsid w:val="00A74491"/>
    <w:rsid w:val="00A8519C"/>
    <w:rsid w:val="00AA4E96"/>
    <w:rsid w:val="00AB0CFA"/>
    <w:rsid w:val="00AB42D9"/>
    <w:rsid w:val="00AC4C69"/>
    <w:rsid w:val="00AC62F8"/>
    <w:rsid w:val="00AD3174"/>
    <w:rsid w:val="00AD53B7"/>
    <w:rsid w:val="00AF4D5B"/>
    <w:rsid w:val="00B0110B"/>
    <w:rsid w:val="00B031AD"/>
    <w:rsid w:val="00B10B32"/>
    <w:rsid w:val="00B15B95"/>
    <w:rsid w:val="00B17C96"/>
    <w:rsid w:val="00B2377C"/>
    <w:rsid w:val="00B52125"/>
    <w:rsid w:val="00B66895"/>
    <w:rsid w:val="00B75FA4"/>
    <w:rsid w:val="00B9792C"/>
    <w:rsid w:val="00BC7177"/>
    <w:rsid w:val="00BD46D6"/>
    <w:rsid w:val="00BE5989"/>
    <w:rsid w:val="00BF3A2B"/>
    <w:rsid w:val="00C01D5A"/>
    <w:rsid w:val="00C04BCF"/>
    <w:rsid w:val="00C2478A"/>
    <w:rsid w:val="00C24FAE"/>
    <w:rsid w:val="00C61CB5"/>
    <w:rsid w:val="00C72A2C"/>
    <w:rsid w:val="00C93A4D"/>
    <w:rsid w:val="00CD6474"/>
    <w:rsid w:val="00CF11DB"/>
    <w:rsid w:val="00D53491"/>
    <w:rsid w:val="00D71734"/>
    <w:rsid w:val="00DD6293"/>
    <w:rsid w:val="00DE34D9"/>
    <w:rsid w:val="00DF0338"/>
    <w:rsid w:val="00E10B44"/>
    <w:rsid w:val="00E17A59"/>
    <w:rsid w:val="00E3171D"/>
    <w:rsid w:val="00E41A72"/>
    <w:rsid w:val="00E467B9"/>
    <w:rsid w:val="00E5065D"/>
    <w:rsid w:val="00E53DD6"/>
    <w:rsid w:val="00E82376"/>
    <w:rsid w:val="00E9124B"/>
    <w:rsid w:val="00ED220E"/>
    <w:rsid w:val="00EE51AB"/>
    <w:rsid w:val="00EF00B8"/>
    <w:rsid w:val="00EF4BFB"/>
    <w:rsid w:val="00F06777"/>
    <w:rsid w:val="00F33CF5"/>
    <w:rsid w:val="00F60E88"/>
    <w:rsid w:val="00F92E50"/>
    <w:rsid w:val="00F93E08"/>
    <w:rsid w:val="00FB46E4"/>
    <w:rsid w:val="00FC05AB"/>
    <w:rsid w:val="00FC5511"/>
    <w:rsid w:val="00FF03BD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  <w:style w:type="paragraph" w:styleId="Corpotesto">
    <w:name w:val="Body Text"/>
    <w:basedOn w:val="Normale"/>
    <w:link w:val="CorpotestoCarattere"/>
    <w:rsid w:val="0016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0B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60B32"/>
    <w:pPr>
      <w:widowControl w:val="0"/>
      <w:autoSpaceDE w:val="0"/>
      <w:autoSpaceDN w:val="0"/>
      <w:adjustRightInd w:val="0"/>
      <w:spacing w:before="52" w:after="0" w:line="240" w:lineRule="auto"/>
      <w:ind w:left="110"/>
    </w:pPr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255D0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5D0A"/>
    <w:rPr>
      <w:rFonts w:eastAsiaTheme="minorEastAsia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0110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0110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01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3EE8-6C8E-4C17-B849-10D08DBB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Pc02</cp:lastModifiedBy>
  <cp:revision>3</cp:revision>
  <cp:lastPrinted>2019-07-11T09:54:00Z</cp:lastPrinted>
  <dcterms:created xsi:type="dcterms:W3CDTF">2020-07-31T08:21:00Z</dcterms:created>
  <dcterms:modified xsi:type="dcterms:W3CDTF">2020-07-31T08:59:00Z</dcterms:modified>
</cp:coreProperties>
</file>